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Resource: Biblica Study Notes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Biblica Study Notes</w:t>
      </w:r>
      <w:r>
        <w:rPr>
          <w:lang w:val="id_ID" w:bidi="id_ID"/>
        </w:rPr>
        <w:t xml:space="preserve"> © 2023 Biblica Inc. Released under CC BY-SA 4.0 license. </w:t>
      </w:r>
      <w:r>
        <w:rPr>
          <w:lang w:val="id_ID" w:bidi="id_ID"/>
        </w:rPr>
        <w:t>Biblica Study Notes</w:t>
      </w:r>
      <w:r>
        <w:rPr>
          <w:lang w:val="id_ID" w:bidi="id_ID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id_ID" w:bidi="id_ID"/>
        </w:rPr>
      </w:r>
      <w:r>
        <w:rPr>
          <w:lang w:val="id_ID" w:bidi="id_ID"/>
        </w:rPr>
      </w:r>
    </w:p>
    <w:p>
      <w:pPr>
        <w:pStyle w:val="Heading1"/>
      </w:pPr>
      <w:r>
        <w:rPr>
          <w:lang w:val="id_ID" w:bidi="id_ID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JUD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lang w:val="id_ID" w:bidi="id_ID"/>
        </w:rPr>
        <w:t xml:space="preserve"> </w:t>
      </w:r>
      <w:r>
        <w:rPr>
          <w:lang w:val="id_ID" w:bidi="id_ID"/>
        </w:rPr>
      </w:r>
      <w:r>
        <w:rPr>
          <w:lang w:val="id_ID" w:bidi="id_ID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Yudas 1:1–4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lang w:val="id_ID" w:bidi="id_ID"/>
        </w:rPr>
        <w:t>Yudas</w:t>
      </w:r>
      <w:r>
        <w:rPr>
          <w:lang w:val="id_ID" w:bidi="id_ID"/>
        </w:rPr>
        <w:t xml:space="preserve"> sebetulnya bisa menyebut dirinya sebagai saudara </w:t>
      </w:r>
      <w:r>
        <w:rPr>
          <w:lang w:val="id_ID" w:bidi="id_ID"/>
        </w:rPr>
        <w:t>Yesus</w:t>
      </w:r>
      <w:r>
        <w:rPr>
          <w:lang w:val="id_ID" w:bidi="id_ID"/>
        </w:rPr>
        <w:t xml:space="preserve"> dan </w:t>
      </w:r>
      <w:r>
        <w:rPr>
          <w:lang w:val="id_ID" w:bidi="id_ID"/>
        </w:rPr>
        <w:t>Yakobus</w:t>
      </w:r>
      <w:r>
        <w:rPr>
          <w:lang w:val="id_ID" w:bidi="id_ID"/>
        </w:rPr>
        <w:t xml:space="preserve">. Namun, ia mengatakan bahwa ia adalah hamba Yesus, </w:t>
      </w:r>
      <w:r>
        <w:rPr>
          <w:lang w:val="id_ID" w:bidi="id_ID"/>
        </w:rPr>
        <w:t>Tuhan</w:t>
      </w:r>
      <w:r>
        <w:rPr>
          <w:lang w:val="id_ID" w:bidi="id_ID"/>
        </w:rPr>
        <w:t xml:space="preserve"> dan Raja. Hal ini menunjukkan bahwa Yudas rendah hati. Yudas mengatakan kepada </w:t>
      </w:r>
      <w:r>
        <w:rPr>
          <w:lang w:val="id_ID" w:bidi="id_ID"/>
        </w:rPr>
        <w:t>jemaat</w:t>
      </w:r>
      <w:r>
        <w:rPr>
          <w:lang w:val="id_ID" w:bidi="id_ID"/>
        </w:rPr>
        <w:t xml:space="preserve"> bahwa mereka adalah orang-orang yang terpilih, dikasihi dan aman. Hal ini akan menguatkan mereka saat mereka menghadapi bahaya yang dihadapi </w:t>
      </w:r>
      <w:r>
        <w:rPr>
          <w:lang w:val="id_ID" w:bidi="id_ID"/>
        </w:rPr>
        <w:t>gereja</w:t>
      </w:r>
      <w:r>
        <w:rPr>
          <w:lang w:val="id_ID" w:bidi="id_ID"/>
        </w:rPr>
        <w:t xml:space="preserve">. Bahaya itu adalah </w:t>
      </w:r>
      <w:r>
        <w:rPr>
          <w:lang w:val="id_ID" w:bidi="id_ID"/>
        </w:rPr>
        <w:t>orang-orang fasik</w:t>
      </w:r>
      <w:r>
        <w:rPr>
          <w:lang w:val="id_ID" w:bidi="id_ID"/>
        </w:rPr>
        <w:t xml:space="preserve"> yang mengajarkan hal-hal yang tidak benar. Mereka mendorong orang-orang percaya untuk berhenti setia kepada </w:t>
      </w:r>
      <w:r>
        <w:rPr>
          <w:lang w:val="id_ID" w:bidi="id_ID"/>
        </w:rPr>
        <w:t>kabar baik</w:t>
      </w:r>
      <w:r>
        <w:rPr>
          <w:lang w:val="id_ID" w:bidi="id_ID"/>
        </w:rPr>
        <w:t xml:space="preserve">. Jadi, Yudas menulis untuk mendorong jemaat agar tetap mempertahankan </w:t>
      </w:r>
      <w:r>
        <w:rPr>
          <w:lang w:val="id_ID" w:bidi="id_ID"/>
        </w:rPr>
        <w:t>iman</w:t>
      </w:r>
      <w:r>
        <w:rPr>
          <w:lang w:val="id_ID" w:bidi="id_ID"/>
        </w:rPr>
        <w:t xml:space="preserve">. Ini berarti berjuang untuk berpegang teguh pada apa yang benar tentang </w:t>
      </w:r>
      <w:r>
        <w:rPr>
          <w:lang w:val="id_ID" w:bidi="id_ID"/>
        </w:rPr>
        <w:t xml:space="preserve">Allah, </w:t>
      </w:r>
      <w:r>
        <w:rPr>
          <w:lang w:val="id_ID" w:bidi="id_ID"/>
        </w:rPr>
        <w:t xml:space="preserve">bekerja keras untuk tetap setia pada cara yang Allah inginkan bagi manusia untuk hidup. Pergumulan ini terjadi di dalam diri orang-orang ketika mereka bertumbuh dalam percaya/iman dan mengikut Yesus. Hal ini terjadi dalam hubungan mereka dengan orang lain ketika mereka menolak untuk mempercayai orang-orang yang mengajarkan kebohongan. Salah satu dusta yang diajarkan oleh orang-orang pada zaman Yudas adalah tentang </w:t>
      </w:r>
      <w:r>
        <w:rPr>
          <w:lang w:val="id_ID" w:bidi="id_ID"/>
        </w:rPr>
        <w:t xml:space="preserve">kasih karunia </w:t>
      </w:r>
      <w:r>
        <w:rPr>
          <w:lang w:val="id_ID" w:bidi="id_ID"/>
        </w:rPr>
        <w:t xml:space="preserve">Allah. Mereka mengajarkan bahwa kasih karunia Allah memberi mereka izin untuk melakukan apa pun sesuka hati. Mereka menggunakan hal ini sebagai alasan untuk melakukan </w:t>
      </w:r>
      <w:r>
        <w:rPr>
          <w:lang w:val="id_ID" w:bidi="id_ID"/>
        </w:rPr>
        <w:t xml:space="preserve">dosa </w:t>
      </w:r>
      <w:r>
        <w:rPr>
          <w:lang w:val="id_ID" w:bidi="id_ID"/>
        </w:rPr>
        <w:t xml:space="preserve">seksual. Ajaran dusta ini membuat mereka menolak untuk menaati Yesus </w:t>
      </w:r>
      <w:r>
        <w:rPr>
          <w:lang w:val="id_ID" w:bidi="id_ID"/>
        </w:rPr>
        <w:t>Kristus</w:t>
      </w:r>
      <w:r>
        <w:rPr>
          <w:lang w:val="id_ID" w:bidi="id_ID"/>
        </w:rPr>
        <w:t xml:space="preserve"> sebagai </w:t>
      </w:r>
      <w:r>
        <w:rPr>
          <w:lang w:val="id_ID" w:bidi="id_ID"/>
        </w:rPr>
        <w:t>Mesias</w:t>
      </w:r>
      <w:r>
        <w:rPr>
          <w:lang w:val="id_ID" w:bidi="id_ID"/>
        </w:rPr>
        <w:t xml:space="preserve"> dan Raja. </w:t>
      </w:r>
      <w:r>
        <w:rPr>
          <w:lang w:val="id_ID" w:bidi="id_ID"/>
        </w:rPr>
        <w:t>Petrus</w:t>
      </w:r>
      <w:r>
        <w:rPr>
          <w:lang w:val="id_ID" w:bidi="id_ID"/>
        </w:rPr>
        <w:t xml:space="preserve"> juga menulis tentang orang-orang yang benci berada di bawah kekuasaan/otoritas Yesus (2 Petrus 2:10).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Yudas 1:5–16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lang w:val="id_ID" w:bidi="id_ID"/>
        </w:rPr>
        <w:t xml:space="preserve">Orang-orang fasik dan </w:t>
      </w:r>
      <w:r>
        <w:rPr>
          <w:lang w:val="id_ID" w:bidi="id_ID"/>
        </w:rPr>
        <w:t>makhluk-makhluk rohani yang jahat</w:t>
      </w:r>
      <w:r>
        <w:rPr>
          <w:lang w:val="id_ID" w:bidi="id_ID"/>
        </w:rPr>
        <w:t xml:space="preserve"> telah menyebabkan masalah bagi </w:t>
      </w:r>
      <w:r>
        <w:rPr>
          <w:lang w:val="id_ID" w:bidi="id_ID"/>
        </w:rPr>
        <w:t>umat Allah</w:t>
      </w:r>
      <w:r>
        <w:rPr>
          <w:lang w:val="id_ID" w:bidi="id_ID"/>
        </w:rPr>
        <w:t xml:space="preserve"> sebelumnya. Yudas memberikan banyak contoh tentang hal ini dari masa lalu </w:t>
      </w:r>
      <w:r>
        <w:rPr>
          <w:lang w:val="id_ID" w:bidi="id_ID"/>
        </w:rPr>
        <w:t>Israel</w:t>
      </w:r>
      <w:r>
        <w:rPr>
          <w:lang w:val="id_ID" w:bidi="id_ID"/>
        </w:rPr>
        <w:t xml:space="preserve">. Kisah-kisah ini ditemukan dalam </w:t>
      </w:r>
      <w:r>
        <w:rPr>
          <w:lang w:val="id_ID" w:bidi="id_ID"/>
        </w:rPr>
        <w:t>Perjanjian Lama</w:t>
      </w:r>
      <w:r>
        <w:rPr>
          <w:lang w:val="id_ID" w:bidi="id_ID"/>
        </w:rPr>
        <w:t xml:space="preserve"> dan tulisan-tulisan </w:t>
      </w:r>
      <w:r>
        <w:rPr>
          <w:lang w:val="id_ID" w:bidi="id_ID"/>
        </w:rPr>
        <w:t>Yahudi</w:t>
      </w:r>
      <w:r>
        <w:rPr>
          <w:lang w:val="id_ID" w:bidi="id_ID"/>
        </w:rPr>
        <w:t xml:space="preserve"> lainnya. Beberapa contoh menunjukkan </w:t>
      </w:r>
      <w:r>
        <w:rPr>
          <w:lang w:val="id_ID" w:bidi="id_ID"/>
        </w:rPr>
        <w:t>penghakiman</w:t>
      </w:r>
      <w:r>
        <w:rPr>
          <w:lang w:val="id_ID" w:bidi="id_ID"/>
        </w:rPr>
        <w:t xml:space="preserve"> Allah terhadap mereka yang menentang-Nya. Contoh-contoh ini termasuk bangsa Israel, </w:t>
      </w:r>
      <w:r>
        <w:rPr>
          <w:lang w:val="id_ID" w:bidi="id_ID"/>
        </w:rPr>
        <w:t>malaikat,</w:t>
      </w:r>
      <w:r>
        <w:rPr>
          <w:lang w:val="id_ID" w:bidi="id_ID"/>
        </w:rPr>
        <w:t xml:space="preserve"> serta penduduk </w:t>
      </w:r>
      <w:r>
        <w:rPr>
          <w:lang w:val="id_ID" w:bidi="id_ID"/>
        </w:rPr>
        <w:t>Sodom dan Gomora</w:t>
      </w:r>
      <w:r>
        <w:rPr>
          <w:lang w:val="id_ID" w:bidi="id_ID"/>
        </w:rPr>
        <w:t xml:space="preserve">. Contoh-contoh lain menunjukkan seperti apa orang-orang fasik di dalam gereja. Mereka tidak menerima otoritas seperti yang dilakukan oleh malaikat </w:t>
      </w:r>
      <w:r>
        <w:rPr>
          <w:lang w:val="id_ID" w:bidi="id_ID"/>
        </w:rPr>
        <w:t>Mikael</w:t>
      </w:r>
      <w:r>
        <w:rPr>
          <w:lang w:val="id_ID" w:bidi="id_ID"/>
        </w:rPr>
        <w:t xml:space="preserve">. Yudas membandingkan mereka dengan </w:t>
      </w:r>
      <w:r>
        <w:rPr>
          <w:lang w:val="id_ID" w:bidi="id_ID"/>
        </w:rPr>
        <w:t>Kain</w:t>
      </w:r>
      <w:r>
        <w:rPr>
          <w:lang w:val="id_ID" w:bidi="id_ID"/>
        </w:rPr>
        <w:t xml:space="preserve">, </w:t>
      </w:r>
      <w:r>
        <w:rPr>
          <w:lang w:val="id_ID" w:bidi="id_ID"/>
        </w:rPr>
        <w:t>Bileam</w:t>
      </w:r>
      <w:r>
        <w:rPr>
          <w:lang w:val="id_ID" w:bidi="id_ID"/>
        </w:rPr>
        <w:t xml:space="preserve"> dan </w:t>
      </w:r>
      <w:r>
        <w:rPr>
          <w:lang w:val="id_ID" w:bidi="id_ID"/>
        </w:rPr>
        <w:t>Korah</w:t>
      </w:r>
      <w:r>
        <w:rPr>
          <w:lang w:val="id_ID" w:bidi="id_ID"/>
        </w:rPr>
        <w:t xml:space="preserve">. Ia juga membandingkan mereka dengan benda-benda di alam. Hal ini menunjukkan bahwa mereka tidak melakukan apa yang seharusnya mereka lakukan. Contoh terakhir adalah tentang bagaimana mereka tidak memperhatikan peringatan. Yudas menyebutkan sebuah </w:t>
      </w:r>
      <w:r>
        <w:rPr>
          <w:lang w:val="id_ID" w:bidi="id_ID"/>
        </w:rPr>
        <w:t>nubuat</w:t>
      </w:r>
      <w:r>
        <w:rPr>
          <w:lang w:val="id_ID" w:bidi="id_ID"/>
        </w:rPr>
        <w:t xml:space="preserve"> dari </w:t>
      </w:r>
      <w:r>
        <w:rPr>
          <w:lang w:val="id_ID" w:bidi="id_ID"/>
        </w:rPr>
        <w:t>Kitab Henokh</w:t>
      </w:r>
      <w:r>
        <w:rPr>
          <w:lang w:val="id_ID" w:bidi="id_ID"/>
        </w:rPr>
        <w:t xml:space="preserve"> tentang Allah yang akan menghakimi orang-orang fasik. Tetapi orang-orang fasik pada zaman Yudas tidak mendengarkan peringatan itu. Mereka terus mengikuti keinginan jahat mereka.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Yudas 1:17–25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lang w:val="id_ID" w:bidi="id_ID"/>
        </w:rPr>
        <w:t xml:space="preserve">Yudas tidak ingin kawan-kawannya yang terkasih menjadi seperti orang-orang fasik di dalam gereja. Orang-orang itu hendak memecah belah orang-orang percaya menjadi kelompok-kelompok. Cara untuk tetap bersatu adalah dengan tetap berada dalam kasih Allah bersama-sama. Hal ini sama dengan ajaran Yesus dalam Yohanes 15:9–10 tentang tetap tinggal dalam kasih-Nya. Orang-orang percaya harus bertumbuh kuat bersama dalam iman mereka. Mereka harus mempercayai </w:t>
      </w:r>
      <w:r>
        <w:rPr>
          <w:lang w:val="id_ID" w:bidi="id_ID"/>
        </w:rPr>
        <w:t>Roh Kudus</w:t>
      </w:r>
      <w:r>
        <w:rPr>
          <w:lang w:val="id_ID" w:bidi="id_ID"/>
        </w:rPr>
        <w:t xml:space="preserve"> untuk membimbing dan menolong mereka. Mereka harus </w:t>
      </w:r>
      <w:r>
        <w:rPr>
          <w:lang w:val="id_ID" w:bidi="id_ID"/>
        </w:rPr>
        <w:t>berdoa</w:t>
      </w:r>
      <w:r>
        <w:rPr>
          <w:lang w:val="id_ID" w:bidi="id_ID"/>
        </w:rPr>
        <w:t xml:space="preserve"> bersama. Sambil menantikan </w:t>
      </w:r>
      <w:r>
        <w:rPr>
          <w:lang w:val="id_ID" w:bidi="id_ID"/>
        </w:rPr>
        <w:t xml:space="preserve">kemurahan </w:t>
      </w:r>
      <w:r>
        <w:rPr>
          <w:lang w:val="id_ID" w:bidi="id_ID"/>
        </w:rPr>
        <w:t xml:space="preserve">Yesus, mereka harus menunjukkan kemurahan satu sama lain. Bagaimana cara melakukannya tergantung pada kebutuhan masing-masing orang. Yudas mengakhiri suratnya dengan memuji Allah. Ketika orang-orang percaya berjuang untuk mempertahankan iman, mereka dapat percaya kepada Allah yang benar. Allah mampu melindungi umat-Nya dari kuasa dosa. Allah adalah </w:t>
      </w:r>
      <w:r>
        <w:rPr>
          <w:lang w:val="id_ID" w:bidi="id_ID"/>
        </w:rPr>
        <w:t>Juruselamat</w:t>
      </w:r>
      <w:r>
        <w:rPr>
          <w:lang w:val="id_ID" w:bidi="id_ID"/>
        </w:rPr>
        <w:t xml:space="preserve"> mereka dan akan membawa mereka ke dalam </w:t>
      </w:r>
      <w:r>
        <w:rPr>
          <w:lang w:val="id_ID" w:bidi="id_ID"/>
        </w:rPr>
        <w:t>kemuliaan</w:t>
      </w:r>
      <w:r>
        <w:rPr>
          <w:lang w:val="id_ID" w:bidi="id_ID"/>
        </w:rPr>
        <w:t xml:space="preserve">-Nya di </w:t>
      </w:r>
      <w:r>
        <w:rPr>
          <w:lang w:val="id_ID" w:bidi="id_ID"/>
        </w:rPr>
        <w:t>surga</w:t>
      </w:r>
      <w:r>
        <w:rPr>
          <w:lang w:val="id_ID" w:bidi="id_ID"/>
        </w:rPr>
        <w:t xml:space="preserve">. Yudas berbicara tentang </w:t>
      </w:r>
      <w:r>
        <w:rPr>
          <w:lang w:val="id_ID" w:bidi="id_ID"/>
        </w:rPr>
        <w:t>kerajaan Allah</w:t>
      </w:r>
      <w:r>
        <w:rPr>
          <w:lang w:val="id_ID" w:bidi="id_ID"/>
        </w:rPr>
        <w:t xml:space="preserve">. Hal ini membawa sukacita bagi Allah dan orang-orang percaya. </w:t>
      </w:r>
      <w:r>
        <w:rPr>
          <w:lang w:val="id_ID" w:bidi="id_ID"/>
        </w:rPr>
        <w:t>Tuhan Yesus Kristus</w:t>
      </w:r>
      <w:r>
        <w:rPr>
          <w:lang w:val="id_ID" w:bidi="id_ID"/>
        </w:rPr>
        <w:t xml:space="preserve"> akan dipuji selama-lamanya.</w:t>
      </w:r>
      <w:r>
        <w:rPr>
          <w:lang w:val="id_ID" w:bidi="id_ID"/>
        </w:rPr>
      </w:r>
      <w:r>
        <w:rPr>
          <w:lang w:val="id_ID" w:bidi="id_ID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_ID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