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Иоанна 1:1–15</w:t>
      </w:r>
      <w:r/>
    </w:p>
    <w:p>
      <w:r/>
      <w:r>
        <w:t>Иоанн</w:t>
      </w:r>
      <w:r>
        <w:t xml:space="preserve"> называл себя старцем. Возможно, он говорил о своём возрасте или о том, что он является </w:t>
      </w:r>
      <w:r>
        <w:t>пресвитером</w:t>
      </w:r>
      <w:r>
        <w:t xml:space="preserve">. Он радовался тому, что его друг Гай живёт здоровой </w:t>
      </w:r>
      <w:r>
        <w:t>духовной</w:t>
      </w:r>
      <w:r>
        <w:t xml:space="preserve"> жизнью, то есть верно следует за </w:t>
      </w:r>
      <w:r>
        <w:t>Иисусом</w:t>
      </w:r>
      <w:r>
        <w:t xml:space="preserve">. В Первом послании Иоанна 3:18 говорится о том, как </w:t>
      </w:r>
      <w:r>
        <w:t>верующие</w:t>
      </w:r>
      <w:r>
        <w:t xml:space="preserve"> должны воплощать свою </w:t>
      </w:r>
      <w:r>
        <w:t>веру</w:t>
      </w:r>
      <w: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t>Благую Весть</w:t>
      </w:r>
      <w:r>
        <w:t xml:space="preserve"> об Иисусе. </w:t>
        <w:br/>
      </w:r>
      <w:r>
        <w:t xml:space="preserve">Человек по имени Диотреф поступал совсем иначе. Диотреф властвовал над другими в </w:t>
      </w:r>
      <w:r>
        <w:t>церкви</w:t>
      </w:r>
      <w:r>
        <w:t xml:space="preserve">. Это противоречило тому, о чём </w:t>
      </w:r>
      <w:r>
        <w:t>Пётр</w:t>
      </w:r>
      <w: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t xml:space="preserve">Павел </w:t>
      </w:r>
      <w:r>
        <w:t xml:space="preserve">в Первом послании к Тимофею 5:20 о необходимости исправлять </w:t>
      </w:r>
      <w:r>
        <w:t>пресвитеров</w:t>
      </w:r>
      <w: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