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Study Notes</w:t>
      </w:r>
      <w:r>
        <w:rPr>
          <w:lang w:val="zh_TW" w:bidi="zh_TW"/>
        </w:rPr>
      </w:r>
    </w:p>
    <w:p>
      <w:pPr/>
      <w:r>
        <w:rPr>
          <w:lang w:val="zh_TW" w:bidi="zh_TW"/>
        </w:rPr>
      </w:r>
      <w:r>
        <w:rPr>
          <w:b/>
          <w:lang w:val="zh_TW" w:bidi="zh_TW"/>
        </w:rPr>
        <w:t>Biblica Study Notes (Book Intros)</w:t>
      </w:r>
      <w:r>
        <w:rPr>
          <w:lang w:val="zh_TW" w:bidi="zh_TW"/>
        </w:rPr>
        <w:t xml:space="preserve"> © 2023 Biblica Inc. Released under CC BY-SA 4.0 license. </w:t>
      </w:r>
      <w:r>
        <w:rPr>
          <w:lang w:val="zh_TW" w:bidi="zh_TW"/>
        </w:rPr>
        <w:t>Biblica Study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zh_TW" w:bidi="zh_TW"/>
        </w:rPr>
        <w:t>Biblica Study Notes</w:t>
      </w:r>
      <w:r>
        <w:rPr>
          <w:lang w:val="zh_TW" w:bidi="zh_TW"/>
        </w:rPr>
        <w:t xml:space="preserve"> © 2023 Biblica Inc. Released under CC BY-SA 4.0 license by Mission Mutual</w:t>
      </w:r>
      <w:r>
        <w:rPr>
          <w:lang w:val="zh_TW" w:bidi="zh_TW"/>
        </w:rPr>
      </w:r>
      <w:r>
        <w:rPr>
          <w:lang w:val="zh_TW" w:bidi="zh_TW"/>
        </w:rPr>
      </w:r>
    </w:p>
    <w:p>
      <w:pPr>
        <w:pStyle w:val="Heading1"/>
      </w:pPr>
      <w:r>
        <w:rPr>
          <w:lang w:val="zh_TW" w:bidi="zh_TW"/>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但以理書</w:t>
      </w:r>
      <w:r>
        <w:rPr>
          <w:lang w:val="zh_TW" w:bidi="zh_TW"/>
        </w:rPr>
      </w:r>
    </w:p>
    <w:p>
      <w:pPr/>
      <w:r>
        <w:rPr>
          <w:lang w:val="zh_TW" w:bidi="zh_TW"/>
        </w:rPr>
      </w:r>
      <w:r>
        <w:rPr>
          <w:b/>
          <w:lang w:val="zh_TW" w:bidi="zh_TW"/>
        </w:rPr>
        <w:t>但以理書是一卷什麼樣的書？</w:t>
      </w:r>
    </w:p>
    <w:p>
      <w:pPr>
        <w:pStyle w:val="ListBullet"/>
        <w:spacing w:line="240" w:lineRule="auto"/>
        <w:ind w:left="720"/>
      </w:pPr>
      <w:r>
        <w:rPr>
          <w:lang w:val="zh_TW" w:bidi="zh_TW"/>
        </w:rPr>
      </w:r>
      <w:r>
        <w:rPr>
          <w:lang w:val="zh_TW" w:bidi="zh_TW"/>
        </w:rPr>
        <w:t>但以理書是以色列先知的書卷。這是故事、信息和異象的集合，也包括書信和禱告。</w:t>
      </w:r>
    </w:p>
    <w:p>
      <w:pPr>
        <w:pStyle w:val="ListBullet"/>
        <w:spacing w:line="240" w:lineRule="auto"/>
        <w:ind w:left="720"/>
      </w:pPr>
      <w:r>
        <w:rPr>
          <w:lang w:val="zh_TW" w:bidi="zh_TW"/>
        </w:rPr>
      </w:r>
      <w:r>
        <w:rPr>
          <w:lang w:val="zh_TW" w:bidi="zh_TW"/>
        </w:rPr>
        <w:t>大部分故事圍繞但以理，也有關於沙得拉、米煞、亞伯尼歌以及巴比倫和波斯的君王的故事。神賜給但以理異象和信息，這些內容涉及當時和後世的政權。</w:t>
      </w:r>
    </w:p>
    <w:p>
      <w:pPr>
        <w:pStyle w:val="ListBullet"/>
        <w:spacing w:line="240" w:lineRule="auto"/>
        <w:ind w:left="720"/>
      </w:pPr>
      <w:r>
        <w:rPr>
          <w:lang w:val="zh_TW" w:bidi="zh_TW"/>
        </w:rPr>
      </w:r>
      <w:r>
        <w:rPr>
          <w:lang w:val="zh_TW" w:bidi="zh_TW"/>
        </w:rPr>
        <w:t>但以理是首批被擄至巴比倫的猶太人之一。</w:t>
      </w:r>
      <w:r>
        <w:rPr>
          <w:lang w:val="zh_TW" w:bidi="zh_TW"/>
        </w:rPr>
        <w:t>約從公元前605年至公元前535年間，</w:t>
      </w:r>
      <w:r>
        <w:rPr>
          <w:lang w:val="zh_TW" w:bidi="zh_TW"/>
        </w:rPr>
        <w:t>但以理在巴比倫政府中服事，直到波斯接管巴比倫，然後繼續在波斯宮中任職。</w:t>
      </w:r>
    </w:p>
    <w:p>
      <w:pPr>
        <w:pStyle w:val="ListBullet"/>
        <w:spacing w:line="240" w:lineRule="auto"/>
        <w:ind w:left="720"/>
      </w:pPr>
      <w:r>
        <w:rPr>
          <w:lang w:val="zh_TW" w:bidi="zh_TW"/>
        </w:rPr>
      </w:r>
      <w:r>
        <w:rPr>
          <w:lang w:val="zh_TW" w:bidi="zh_TW"/>
        </w:rPr>
        <w:t>一般認為但以理記錄了這些故事、信息和異象</w:t>
      </w:r>
      <w:r>
        <w:rPr>
          <w:lang w:val="zh_TW" w:bidi="zh_TW"/>
        </w:rPr>
        <w:t>。</w:t>
      </w:r>
    </w:p>
    <w:p>
      <w:pPr>
        <w:pStyle w:val="ListBullet"/>
        <w:spacing w:line="240" w:lineRule="auto"/>
        <w:ind w:left="720"/>
      </w:pPr>
      <w:r>
        <w:rPr>
          <w:lang w:val="zh_TW" w:bidi="zh_TW"/>
        </w:rPr>
      </w:r>
      <w:r>
        <w:rPr>
          <w:lang w:val="zh_TW" w:bidi="zh_TW"/>
        </w:rPr>
        <w:t>新約的作者認為但以理的部分預言和異象在耶穌的生平和事工中應驗了。</w:t>
      </w:r>
    </w:p>
    <w:p>
      <w:pPr/>
      <w:r>
        <w:rPr>
          <w:lang w:val="zh_TW" w:bidi="zh_TW"/>
        </w:rPr>
      </w:r>
      <w:r>
        <w:rPr>
          <w:b/>
          <w:lang w:val="zh_TW" w:bidi="zh_TW"/>
        </w:rPr>
        <w:t>這卷書為誰而寫？</w:t>
      </w:r>
    </w:p>
    <w:p>
      <w:pPr>
        <w:pStyle w:val="ListBullet"/>
        <w:spacing w:line="240" w:lineRule="auto"/>
        <w:ind w:left="720"/>
      </w:pPr>
      <w:r>
        <w:rPr>
          <w:lang w:val="zh_TW" w:bidi="zh_TW"/>
        </w:rPr>
      </w:r>
      <w:r>
        <w:rPr>
          <w:lang w:val="zh_TW" w:bidi="zh_TW"/>
        </w:rPr>
        <w:t>寫給被擄至巴比倫的猶太人。</w:t>
      </w:r>
    </w:p>
    <w:p>
      <w:pPr/>
      <w:r>
        <w:rPr>
          <w:lang w:val="zh_TW" w:bidi="zh_TW"/>
        </w:rPr>
      </w:r>
      <w:r>
        <w:rPr>
          <w:b/>
          <w:lang w:val="zh_TW" w:bidi="zh_TW"/>
        </w:rPr>
        <w:t>但以理書為何而寫？</w:t>
      </w:r>
    </w:p>
    <w:p>
      <w:pPr>
        <w:pStyle w:val="ListBullet"/>
        <w:spacing w:line="240" w:lineRule="auto"/>
        <w:ind w:left="720"/>
      </w:pPr>
      <w:r>
        <w:rPr>
          <w:lang w:val="zh_TW" w:bidi="zh_TW"/>
        </w:rPr>
      </w:r>
      <w:r>
        <w:rPr>
          <w:lang w:val="zh_TW" w:bidi="zh_TW"/>
        </w:rPr>
        <w:t>為了用神在被擄期間看顧祂百姓的故事來鼓勵猶太人。</w:t>
      </w:r>
    </w:p>
    <w:p>
      <w:pPr>
        <w:pStyle w:val="ListBullet"/>
        <w:spacing w:line="240" w:lineRule="auto"/>
        <w:ind w:left="720"/>
      </w:pPr>
      <w:r>
        <w:rPr>
          <w:lang w:val="zh_TW" w:bidi="zh_TW"/>
        </w:rPr>
      </w:r>
      <w:r>
        <w:rPr>
          <w:lang w:val="zh_TW" w:bidi="zh_TW"/>
        </w:rPr>
        <w:t>舉例說明猶太人如何忠於西奈山之約。</w:t>
      </w:r>
      <w:r>
        <w:rPr>
          <w:lang w:val="zh_TW" w:bidi="zh_TW"/>
        </w:rPr>
        <w:t>他們在被擄期間以及遭受不公待遇時，仍然忠於神。</w:t>
      </w:r>
    </w:p>
    <w:p>
      <w:pPr>
        <w:pStyle w:val="ListBullet"/>
        <w:spacing w:line="240" w:lineRule="auto"/>
        <w:ind w:left="720"/>
      </w:pPr>
      <w:r>
        <w:rPr>
          <w:lang w:val="zh_TW" w:bidi="zh_TW"/>
        </w:rPr>
      </w:r>
      <w:r>
        <w:rPr>
          <w:lang w:val="zh_TW" w:bidi="zh_TW"/>
        </w:rPr>
        <w:t>為了提醒猶太人神的大能和權柄，使他們在面對人類統治者和政權帶來的苦難時，得到鼓勵。</w:t>
      </w:r>
    </w:p>
    <w:p>
      <w:pPr/>
      <w:r>
        <w:rPr>
          <w:lang w:val="zh_TW" w:bidi="zh_TW"/>
        </w:rPr>
      </w:r>
      <w:r>
        <w:rPr>
          <w:b/>
          <w:lang w:val="zh_TW" w:bidi="zh_TW"/>
        </w:rPr>
        <w:t>主要思想</w:t>
      </w:r>
    </w:p>
    <w:p>
      <w:pPr>
        <w:pStyle w:val="ListBullet"/>
        <w:spacing w:line="240" w:lineRule="auto"/>
        <w:ind w:left="720"/>
      </w:pPr>
      <w:r>
        <w:rPr>
          <w:lang w:val="zh_TW" w:bidi="zh_TW"/>
        </w:rPr>
      </w:r>
      <w:r>
        <w:rPr>
          <w:lang w:val="zh_TW" w:bidi="zh_TW"/>
        </w:rPr>
        <w:t>神在天上和地上擁有完全的權柄，祂將會結束祂子民在巴比倫的被擄生活，有一天祂將永遠為王。</w:t>
      </w:r>
    </w:p>
    <w:p>
      <w:pPr>
        <w:pStyle w:val="ListBullet"/>
        <w:spacing w:line="240" w:lineRule="auto"/>
        <w:ind w:left="720"/>
      </w:pPr>
      <w:r>
        <w:rPr>
          <w:lang w:val="zh_TW" w:bidi="zh_TW"/>
        </w:rPr>
      </w:r>
      <w:r>
        <w:rPr>
          <w:lang w:val="zh_TW" w:bidi="zh_TW"/>
        </w:rPr>
        <w:t>但以理、沙得拉、米煞和亞伯尼歌在遠離耶路撒冷和聖殿的情況下，仍然忠於西奈山之約</w:t>
      </w:r>
      <w:r>
        <w:rPr>
          <w:lang w:val="zh_TW" w:bidi="zh_TW"/>
        </w:rPr>
        <w:t>。</w:t>
      </w:r>
    </w:p>
    <w:p>
      <w:pPr/>
      <w:r>
        <w:rPr>
          <w:lang w:val="zh_TW" w:bidi="zh_TW"/>
        </w:rPr>
      </w:r>
      <w:r>
        <w:rPr>
          <w:b/>
          <w:lang w:val="zh_TW" w:bidi="zh_TW"/>
        </w:rPr>
        <w:t>大綱</w:t>
      </w:r>
    </w:p>
    <w:p>
      <w:pPr/>
      <w:r>
        <w:rPr>
          <w:lang w:val="zh_TW" w:bidi="zh_TW"/>
        </w:rPr>
      </w:r>
      <w:r>
        <w:rPr>
          <w:b/>
          <w:lang w:val="zh_TW" w:bidi="zh_TW"/>
        </w:rPr>
        <w:t>關於但以理和他的三個朋友的故事（1－6章）。</w:t>
      </w:r>
    </w:p>
    <w:p>
      <w:pPr/>
      <w:r>
        <w:rPr>
          <w:lang w:val="zh_TW" w:bidi="zh_TW"/>
        </w:rPr>
      </w:r>
      <w:r>
        <w:rPr>
          <w:b/>
          <w:lang w:val="zh_TW" w:bidi="zh_TW"/>
        </w:rPr>
        <w:t>給但以理關於未來的異象和信息（7－12章）。</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