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Pierre</w:t>
      </w:r>
      <w:r/>
    </w:p>
    <w:p>
      <w:r/>
      <w:r>
        <w:rPr>
          <w:b/>
        </w:rPr>
        <w:t>Qu'est-ce que la Deuxième épître de Pierre ?</w:t>
      </w:r>
    </w:p>
    <w:p>
      <w:pPr>
        <w:pStyle w:val="ListBullet"/>
        <w:spacing w:line="240" w:lineRule="auto"/>
        <w:ind w:left="720"/>
      </w:pPr>
      <w:r/>
      <w:r>
        <w:t>La Deuxième épître de Pierre est une lettre écrite par Pierre.</w:t>
      </w:r>
    </w:p>
    <w:p>
      <w:pPr>
        <w:pStyle w:val="ListBullet"/>
        <w:spacing w:line="240" w:lineRule="auto"/>
        <w:ind w:left="720"/>
      </w:pPr>
      <w:r/>
      <w:r>
        <w:t>On pense que Pierre a écrit cette lettre quand il était à Rome. On pense qu'il l'a écrite vers 67 apr. J.-C.</w:t>
      </w:r>
    </w:p>
    <w:p>
      <w:pPr>
        <w:pStyle w:val="ListBullet"/>
        <w:spacing w:line="240" w:lineRule="auto"/>
        <w:ind w:left="720"/>
      </w:pPr>
      <w:r/>
      <w:r>
        <w:t>Le Nouveau Testament contient deux lettres de Pierre. Celle-ci est la deuxième.</w:t>
      </w:r>
    </w:p>
    <w:p>
      <w:r/>
      <w:r>
        <w:rPr>
          <w:b/>
        </w:rPr>
        <w:t>À qui la Deuxième épître de Pierre a-t-elle été écrite ?</w:t>
      </w:r>
    </w:p>
    <w:p>
      <w:pPr>
        <w:pStyle w:val="ListBullet"/>
        <w:spacing w:line="240" w:lineRule="auto"/>
        <w:ind w:left="720"/>
      </w:pPr>
      <w:r/>
      <w:r>
        <w:t>On ne sait pas exactement à qui cette lettre a été écrite. Elle a été écrite pour des croyants.</w:t>
      </w:r>
    </w:p>
    <w:p>
      <w:pPr>
        <w:pStyle w:val="ListBullet"/>
        <w:spacing w:line="240" w:lineRule="auto"/>
        <w:ind w:left="720"/>
      </w:pPr>
      <w:r/>
      <w:r>
        <w:t>Peut-être que cette lettre a été écrite pour les mêmes croyants que 1 Pierre. Ces croyants se trouvaient dans les territoires romains aujourd'hui connus comme la Turquie.</w:t>
      </w:r>
    </w:p>
    <w:p>
      <w:pPr>
        <w:pStyle w:val="ListBullet"/>
        <w:spacing w:line="240" w:lineRule="auto"/>
        <w:ind w:left="720"/>
      </w:pPr>
      <w:r/>
      <w:r>
        <w:t>Les disciples de Jésus reconnaissent que 2 Pierre partage la vérité sur Jésus. Cette lettre a donc été écrite pour tous les peuples partout dans le monde.</w:t>
      </w:r>
    </w:p>
    <w:p>
      <w:r/>
      <w:r>
        <w:rPr>
          <w:b/>
        </w:rPr>
        <w:t>Pourquoi la Deuxième épître de Pierre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s'opposer aux faux enseignants. Ils enseignaient des choses fausses à propos de Jésus.</w:t>
      </w:r>
    </w:p>
    <w:p>
      <w:pPr>
        <w:pStyle w:val="ListBullet"/>
        <w:spacing w:line="240" w:lineRule="auto"/>
        <w:ind w:left="720"/>
      </w:pPr>
      <w:r/>
      <w:r>
        <w:t>Cette lettre a été écrite pour encourager les croyants à vivre d'une manière qui plaît à Dieu.</w:t>
      </w:r>
    </w:p>
    <w:p>
      <w:pPr>
        <w:pStyle w:val="ListBullet"/>
        <w:spacing w:line="240" w:lineRule="auto"/>
        <w:ind w:left="720"/>
      </w:pPr>
      <w:r/>
      <w:r>
        <w:t>Cette lettre a été écrite pour aider les croyants à être prêts pour le retour de Jésus.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La grâce de Dieu permet aux croyants de mener une vie sainte même quand d'autres s'opposent à eux.</w:t>
      </w:r>
    </w:p>
    <w:p>
      <w:pPr>
        <w:pStyle w:val="ListBullet"/>
        <w:spacing w:line="240" w:lineRule="auto"/>
        <w:ind w:left="720"/>
      </w:pPr>
      <w:r/>
      <w:r>
        <w:t>Les croyants doivent continuer à grandir dans la foi et ne doivent pas croire aux faux enseignements.</w:t>
      </w:r>
    </w:p>
    <w:p>
      <w:pPr>
        <w:pStyle w:val="ListBullet"/>
        <w:spacing w:line="240" w:lineRule="auto"/>
        <w:ind w:left="720"/>
      </w:pPr>
      <w:r/>
      <w:r>
        <w:t>Jésus reviendra.</w:t>
      </w:r>
    </w:p>
    <w:p>
      <w:pPr>
        <w:pStyle w:val="ListBullet"/>
        <w:spacing w:line="240" w:lineRule="auto"/>
        <w:ind w:left="720"/>
      </w:pPr>
      <w:r/>
      <w:r>
        <w:t>Dieu est patient parce qu'il veut que les gens se détournent du péché.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(1.1–2)</w:t>
      </w:r>
    </w:p>
    <w:p>
      <w:r/>
      <w:r>
        <w:rPr>
          <w:b/>
        </w:rPr>
        <w:t>La nécessité de mener une vie sainte (1.3–11)</w:t>
      </w:r>
    </w:p>
    <w:p>
      <w:r/>
      <w:r>
        <w:rPr>
          <w:b/>
        </w:rPr>
        <w:t>Se souvenir de la base de la foi (1.12–21)</w:t>
      </w:r>
    </w:p>
    <w:p>
      <w:r/>
      <w:r>
        <w:rPr>
          <w:b/>
        </w:rPr>
        <w:t>Refuser de croire les faux enseignants (2)</w:t>
      </w:r>
    </w:p>
    <w:p>
      <w:r/>
      <w:r>
        <w:rPr>
          <w:b/>
        </w:rPr>
        <w:t>Les derniers jours et le Jour du Seigneur (3.1–16)</w:t>
      </w:r>
    </w:p>
    <w:p>
      <w:r/>
      <w:r>
        <w:rPr>
          <w:b/>
        </w:rPr>
        <w:t>Salutations finales (3.17–18)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