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(Portuguese)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Filemom</w:t>
      </w:r>
      <w:r/>
    </w:p>
    <w:p>
      <w:r/>
      <w:r>
        <w:rPr>
          <w:b/>
        </w:rPr>
        <w:t>O que é o livro de</w:t>
      </w:r>
      <w:r>
        <w:t xml:space="preserve"> </w:t>
      </w:r>
      <w:r>
        <w:rPr>
          <w:b/>
        </w:rPr>
        <w:t>Filemom?</w:t>
      </w:r>
    </w:p>
    <w:p>
      <w:pPr>
        <w:pStyle w:val="ListBullet"/>
        <w:spacing w:line="240" w:lineRule="auto"/>
        <w:ind w:left="720"/>
      </w:pPr>
      <w:r/>
      <w:r>
        <w:t>O livro de Filemom é uma carta de Paulo. Timóteo ajudou Paulo a escrevê-la.</w:t>
      </w:r>
    </w:p>
    <w:p>
      <w:pPr>
        <w:pStyle w:val="ListBullet"/>
        <w:spacing w:line="240" w:lineRule="auto"/>
        <w:ind w:left="720"/>
      </w:pPr>
      <w:r/>
      <w:r>
        <w:t>Pensa-se que Paulo a escreveu por volta do ano 60 d.C.</w:t>
      </w:r>
    </w:p>
    <w:p>
      <w:r/>
      <w:r>
        <w:rPr>
          <w:b/>
        </w:rPr>
        <w:t>Para quem foi escrito Filemom?</w:t>
      </w:r>
    </w:p>
    <w:p>
      <w:pPr>
        <w:pStyle w:val="ListBullet"/>
        <w:spacing w:line="240" w:lineRule="auto"/>
        <w:ind w:left="720"/>
      </w:pPr>
      <w:r/>
      <w:r>
        <w:t>Para Filemom, sua família e a igreja que se reunia em sua casa.</w:t>
      </w:r>
    </w:p>
    <w:p>
      <w:pPr>
        <w:pStyle w:val="ListBullet"/>
        <w:spacing w:line="240" w:lineRule="auto"/>
        <w:ind w:left="720"/>
      </w:pPr>
      <w:r/>
      <w:r>
        <w:t>Os seguidores de Jesus reconhecem que Filemom compartilha a verdade sobre Jesus. É para todas as pessoas em todos os lugares.</w:t>
      </w:r>
    </w:p>
    <w:p>
      <w:r/>
      <w:r>
        <w:rPr>
          <w:b/>
        </w:rPr>
        <w:t>Por que a carta a Filemom foi escrita?</w:t>
      </w:r>
    </w:p>
    <w:p>
      <w:pPr>
        <w:pStyle w:val="ListBullet"/>
        <w:spacing w:line="240" w:lineRule="auto"/>
        <w:ind w:left="720"/>
      </w:pPr>
      <w:r/>
      <w:r>
        <w:t>Pedir a Filemom que receba Onésimo de volta como irmão e não como escravo.</w:t>
      </w:r>
    </w:p>
    <w:p>
      <w:r/>
      <w:r>
        <w:rPr>
          <w:b/>
        </w:rPr>
        <w:t>Ideias principais</w:t>
      </w:r>
    </w:p>
    <w:p>
      <w:pPr>
        <w:pStyle w:val="ListBullet"/>
        <w:spacing w:line="240" w:lineRule="auto"/>
        <w:ind w:left="720"/>
      </w:pPr>
      <w:r/>
      <w:r>
        <w:t>Deus uniu Onésimo e Paulo.</w:t>
      </w:r>
    </w:p>
    <w:p>
      <w:pPr>
        <w:pStyle w:val="ListBullet"/>
        <w:spacing w:line="240" w:lineRule="auto"/>
        <w:ind w:left="720"/>
      </w:pPr>
      <w:r/>
      <w:r>
        <w:t>A boa notícia mudou a vida de Onésimo.</w:t>
      </w:r>
    </w:p>
    <w:p>
      <w:pPr>
        <w:pStyle w:val="ListBullet"/>
        <w:spacing w:line="240" w:lineRule="auto"/>
        <w:ind w:left="720"/>
      </w:pPr>
      <w:r/>
      <w:r>
        <w:t>A boa notícia pode mudar a relação entre um proprietário de escravos e um escravo.</w:t>
      </w:r>
    </w:p>
    <w:p>
      <w:r/>
      <w:r>
        <w:rPr>
          <w:b/>
        </w:rPr>
        <w:t>Esboço</w:t>
      </w:r>
    </w:p>
    <w:p>
      <w:r/>
      <w:r>
        <w:rPr>
          <w:b/>
        </w:rPr>
        <w:t>Saudações (1.1–3).</w:t>
      </w:r>
    </w:p>
    <w:p>
      <w:r/>
      <w:r>
        <w:rPr>
          <w:b/>
        </w:rPr>
        <w:t>Oração e ação de graças (1.4–7).</w:t>
      </w:r>
    </w:p>
    <w:p>
      <w:r/>
      <w:r>
        <w:rPr>
          <w:b/>
        </w:rPr>
        <w:t>Paulo faz um apelo por Onésimo (1.8–22).</w:t>
      </w:r>
    </w:p>
    <w:p>
      <w:r/>
      <w:r>
        <w:rPr>
          <w:b/>
        </w:rPr>
        <w:t>Saudações finais (1.23–25).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