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João</w:t>
      </w:r>
      <w:r/>
    </w:p>
    <w:p>
      <w:r/>
      <w:r>
        <w:rPr>
          <w:b/>
        </w:rPr>
        <w:t>O que é o livro de 2 João?</w:t>
      </w:r>
    </w:p>
    <w:p>
      <w:pPr>
        <w:pStyle w:val="ListBullet"/>
        <w:spacing w:line="240" w:lineRule="auto"/>
        <w:ind w:left="720"/>
      </w:pPr>
      <w:r/>
      <w:r>
        <w:t>O livro de 2 João é uma carta. A carta não diz quem foi o escritor. Acredita-se que o apóstolo João a escreveu. A forma como a carta é escrita é muito semelhante a 1 João.</w:t>
      </w:r>
    </w:p>
    <w:p>
      <w:pPr>
        <w:pStyle w:val="ListBullet"/>
        <w:spacing w:line="240" w:lineRule="auto"/>
        <w:ind w:left="720"/>
      </w:pPr>
      <w:r/>
      <w:r>
        <w:t>Acredita-se que João escreveu esta carta depois de escrever 1 João. Acredita-se que ele a tenha escrito por volta do ano 90 d.C.</w:t>
      </w:r>
    </w:p>
    <w:p>
      <w:pPr>
        <w:pStyle w:val="ListBullet"/>
        <w:spacing w:line="240" w:lineRule="auto"/>
        <w:ind w:left="720"/>
      </w:pPr>
      <w:r/>
      <w:r>
        <w:t>O Novo Testamento inclui três cartas que se acredita terem sido escritas por João. Esta é a segunda carta.</w:t>
      </w:r>
    </w:p>
    <w:p>
      <w:r/>
      <w:r>
        <w:rPr>
          <w:b/>
        </w:rPr>
        <w:t>Para quem foi escrito 2 João?</w:t>
      </w:r>
    </w:p>
    <w:p>
      <w:pPr>
        <w:pStyle w:val="ListBullet"/>
        <w:spacing w:line="240" w:lineRule="auto"/>
        <w:ind w:left="720"/>
      </w:pPr>
      <w:r/>
      <w:r>
        <w:t>Não se sabe exatamente para quem 2 João foi escrito. Acredita-se que João o enviou para uma igreja que se reunia na casa de alguém. Acredita-se que esta igreja estava na região de Éfeso.</w:t>
      </w:r>
    </w:p>
    <w:p>
      <w:pPr>
        <w:pStyle w:val="ListBullet"/>
        <w:spacing w:line="240" w:lineRule="auto"/>
        <w:ind w:left="720"/>
      </w:pPr>
      <w:r/>
      <w:r>
        <w:t>Os seguidores de Jesus reconhecem que 2 João compartilha a verdade sobre Jesus. É para todas as pessoas em todos os lugares.</w:t>
      </w:r>
    </w:p>
    <w:p>
      <w:r/>
      <w:r>
        <w:rPr>
          <w:b/>
        </w:rPr>
        <w:t>Por que 2 João foi escrito?</w:t>
      </w:r>
    </w:p>
    <w:p>
      <w:pPr>
        <w:pStyle w:val="ListBullet"/>
        <w:spacing w:line="240" w:lineRule="auto"/>
        <w:ind w:left="720"/>
      </w:pPr>
      <w:r/>
      <w:r>
        <w:t>Para lembrar os crentes do que Deus lhes ordenou fazer.</w:t>
      </w:r>
    </w:p>
    <w:p>
      <w:pPr>
        <w:pStyle w:val="ListBullet"/>
        <w:spacing w:line="240" w:lineRule="auto"/>
        <w:ind w:left="720"/>
      </w:pPr>
      <w:r/>
      <w:r>
        <w:t>Para lembrar os crentes sobre o que é verdade sobre Jesus.</w:t>
      </w:r>
    </w:p>
    <w:p>
      <w:pPr>
        <w:pStyle w:val="ListBullet"/>
        <w:spacing w:line="240" w:lineRule="auto"/>
        <w:ind w:left="720"/>
      </w:pPr>
      <w:r/>
      <w:r>
        <w:t>Para alertá-los a não permitir que falsos mestres ensinem na igreja.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Os crentes devem viver uma vida de amor.</w:t>
      </w:r>
    </w:p>
    <w:p>
      <w:pPr>
        <w:pStyle w:val="ListBullet"/>
        <w:spacing w:line="240" w:lineRule="auto"/>
        <w:ind w:left="720"/>
      </w:pPr>
      <w:r/>
      <w:r>
        <w:t>Falsos mestres ensinaram que Jesus não era um ser humano.</w:t>
      </w:r>
    </w:p>
    <w:p>
      <w:pPr>
        <w:pStyle w:val="ListBullet"/>
        <w:spacing w:line="240" w:lineRule="auto"/>
        <w:ind w:left="720"/>
      </w:pPr>
      <w:r/>
      <w:r>
        <w:t>Os crentes são família porque pertencem a Deus e seguem os ensinamentos de Cristo.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(1.1–3).</w:t>
      </w:r>
    </w:p>
    <w:p>
      <w:r/>
      <w:r>
        <w:rPr>
          <w:b/>
        </w:rPr>
        <w:t>João encoraja e adverte os crentes (1.4–11).</w:t>
      </w:r>
    </w:p>
    <w:p>
      <w:r/>
      <w:r>
        <w:rPr>
          <w:b/>
        </w:rPr>
        <w:t>Saudações finais (1.12–13).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