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Михея</w:t>
      </w:r>
      <w:r/>
    </w:p>
    <w:p>
      <w:r/>
      <w:r>
        <w:rPr>
          <w:b/>
        </w:rPr>
        <w:t>Что из себя представляет Книга пророка</w:t>
      </w:r>
      <w:r>
        <w:t xml:space="preserve"> </w:t>
      </w:r>
      <w:r>
        <w:rPr>
          <w:b/>
        </w:rPr>
        <w:t>Михея?</w:t>
      </w:r>
    </w:p>
    <w:p>
      <w:pPr>
        <w:pStyle w:val="ListBullet"/>
        <w:spacing w:line="240" w:lineRule="auto"/>
        <w:ind w:left="720"/>
      </w:pPr>
      <w:r/>
      <w:r>
        <w:t>Книга пророка Михея относится к книгам израильских пророков. В неё входят пророчества от Бога, сказанные пророком Михеем.</w:t>
      </w:r>
    </w:p>
    <w:p>
      <w:pPr>
        <w:pStyle w:val="ListBullet"/>
        <w:spacing w:line="240" w:lineRule="auto"/>
        <w:ind w:left="720"/>
      </w:pPr>
      <w:r/>
      <w:r>
        <w:t>Пророчества относятся к народу и правителям Северного и Южного Царств.</w:t>
      </w:r>
    </w:p>
    <w:p>
      <w:pPr>
        <w:pStyle w:val="ListBullet"/>
        <w:spacing w:line="240" w:lineRule="auto"/>
        <w:ind w:left="720"/>
      </w:pPr>
      <w:r/>
      <w:r>
        <w:t>Михей пророчествовал на протяжении многих лет. Он пророчествовал во времена царствования Иофама, Ахаза и Езекии в Южном Царстве. Он пророчествовал примерно с 742 до 687 гг. до н.э.</w:t>
      </w:r>
    </w:p>
    <w:p>
      <w:pPr>
        <w:pStyle w:val="ListBullet"/>
        <w:spacing w:line="240" w:lineRule="auto"/>
        <w:ind w:left="720"/>
      </w:pPr>
      <w:r/>
      <w:r>
        <w:t>Эти пророчества относятся к событиям, происходившим во времена правления этих царей. В них говорится о событиях, которые произошли гораздо позже. К ним относятся события, когда Ассирия захватила Северное Царство в 722 г. до н.э. В том числе, когда Вавилон захватил Южное Царство в 586 г. до н.э. В них также говорится о событиях, которые ещё не произошли.</w:t>
      </w:r>
    </w:p>
    <w:p>
      <w:pPr>
        <w:pStyle w:val="ListBullet"/>
        <w:spacing w:line="240" w:lineRule="auto"/>
        <w:ind w:left="720"/>
      </w:pPr>
      <w:r/>
      <w:r>
        <w:t>Пророчества были записаны в виде поэтических речей. Считается, что эти пророчества записал сам пророк Михей.</w:t>
      </w:r>
    </w:p>
    <w:p>
      <w:pPr>
        <w:pStyle w:val="ListBullet"/>
        <w:spacing w:line="240" w:lineRule="auto"/>
        <w:ind w:left="720"/>
      </w:pPr>
      <w:r/>
      <w:r>
        <w:t>Авторы Нового Завета понимали, что некоторые пророчества Михея исполнились в жизни и служении Иисуса.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Северного Царства (Израиля) и для народа Южного Царства (Иудеи).</w:t>
      </w:r>
    </w:p>
    <w:p>
      <w:r/>
      <w:r>
        <w:rPr>
          <w:b/>
        </w:rPr>
        <w:t>Для чего была написана Книга пророка Михея?</w:t>
      </w:r>
    </w:p>
    <w:p>
      <w:pPr>
        <w:pStyle w:val="ListBullet"/>
        <w:spacing w:line="240" w:lineRule="auto"/>
        <w:ind w:left="720"/>
      </w:pPr>
      <w:r/>
      <w:r>
        <w:t>Чтобы показать грехи народа и правителей Северного и Южного Царств. Михей объяснил, почему Бог собирается совершить над ними суд.</w:t>
      </w:r>
    </w:p>
    <w:p>
      <w:pPr>
        <w:pStyle w:val="ListBullet"/>
        <w:spacing w:line="240" w:lineRule="auto"/>
        <w:ind w:left="720"/>
      </w:pPr>
      <w:r/>
      <w:r>
        <w:t>Чтобы призвать их поклоняться только Богу и соблюдать Божьи заповеди о том, как относиться к другим.</w:t>
      </w:r>
    </w:p>
    <w:p>
      <w:pPr>
        <w:pStyle w:val="ListBullet"/>
        <w:spacing w:line="240" w:lineRule="auto"/>
        <w:ind w:left="720"/>
      </w:pPr>
      <w:r/>
      <w:r>
        <w:t>Чтобы дать им надежду на будущее после времени суда. Надежда основывалась на верной любви Бога к ним.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Правители Северного и Южного Царств подавали очень плохой пример Божьему народу.</w:t>
      </w:r>
    </w:p>
    <w:p>
      <w:pPr>
        <w:pStyle w:val="ListBullet"/>
        <w:spacing w:line="240" w:lineRule="auto"/>
        <w:ind w:left="720"/>
      </w:pPr>
      <w:r/>
      <w:r>
        <w:t>Верное поклонение истинному Богу ведёт к справедливым поступкам.</w:t>
      </w:r>
    </w:p>
    <w:p>
      <w:pPr>
        <w:pStyle w:val="ListBullet"/>
        <w:spacing w:line="240" w:lineRule="auto"/>
        <w:ind w:left="720"/>
      </w:pPr>
      <w:r/>
      <w:r>
        <w:t>Бог совершит суд над обоими царствами за то, что они поступали несправедливо.</w:t>
      </w:r>
    </w:p>
    <w:p>
      <w:pPr>
        <w:pStyle w:val="ListBullet"/>
        <w:spacing w:line="240" w:lineRule="auto"/>
        <w:ind w:left="720"/>
      </w:pPr>
      <w:r/>
      <w:r>
        <w:t>Царь из рода Давида будет править Божьим народом.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Пророчество о суде над Северным и Южным Царствами (1 – 3).</w:t>
      </w:r>
    </w:p>
    <w:p>
      <w:r/>
      <w:r>
        <w:rPr>
          <w:b/>
        </w:rPr>
        <w:t>Пророчество надежды о Царе из рода Давида (4 – 5).</w:t>
      </w:r>
    </w:p>
    <w:p>
      <w:r/>
      <w:r>
        <w:rPr>
          <w:b/>
        </w:rPr>
        <w:t>Другие пророчества о суде и надежде (6 ­– 7).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