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к Титу</w:t>
      </w:r>
      <w:r/>
    </w:p>
    <w:p>
      <w:r/>
      <w:r>
        <w:rPr>
          <w:b/>
        </w:rPr>
        <w:t>Что из себя представляет Послание к Титу?</w:t>
      </w:r>
    </w:p>
    <w:p>
      <w:pPr>
        <w:pStyle w:val="ListBullet"/>
        <w:spacing w:line="240" w:lineRule="auto"/>
        <w:ind w:left="720"/>
      </w:pPr>
      <w:r/>
      <w:r>
        <w:t>Послание к Титу — это письмо Павла.</w:t>
      </w:r>
    </w:p>
    <w:p>
      <w:pPr>
        <w:pStyle w:val="ListBullet"/>
        <w:spacing w:line="240" w:lineRule="auto"/>
        <w:ind w:left="720"/>
      </w:pPr>
      <w:r/>
      <w:r>
        <w:t>Считается, что Павел написал его около 64 г. н.э.</w:t>
      </w:r>
    </w:p>
    <w:p>
      <w:r/>
      <w:r>
        <w:rPr>
          <w:b/>
        </w:rPr>
        <w:t>Кому было написано Послание к Титу?</w:t>
      </w:r>
    </w:p>
    <w:p>
      <w:pPr>
        <w:pStyle w:val="ListBullet"/>
        <w:spacing w:line="240" w:lineRule="auto"/>
        <w:ind w:left="720"/>
      </w:pPr>
      <w:r/>
      <w:r>
        <w:t>Титу, когда он трудился и служил в церквях на Крите.</w:t>
      </w:r>
    </w:p>
    <w:p>
      <w:pPr>
        <w:pStyle w:val="ListBullet"/>
        <w:spacing w:line="240" w:lineRule="auto"/>
        <w:ind w:left="720"/>
      </w:pPr>
      <w:r/>
      <w:r>
        <w:t>Церковь признала, что Послание к Титу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Послание к Титу?</w:t>
      </w:r>
    </w:p>
    <w:p>
      <w:pPr>
        <w:pStyle w:val="ListBullet"/>
        <w:spacing w:line="240" w:lineRule="auto"/>
        <w:ind w:left="720"/>
      </w:pPr>
      <w:r/>
      <w:r>
        <w:t>Чтобы научить Тита, как руководить церквями на Крите.</w:t>
      </w:r>
    </w:p>
    <w:p>
      <w:pPr>
        <w:pStyle w:val="ListBullet"/>
        <w:spacing w:line="240" w:lineRule="auto"/>
        <w:ind w:left="720"/>
      </w:pPr>
      <w:r/>
      <w:r>
        <w:t>Чтобы дать чёткие указания о том, как выбирать руководителей церквей и какими они должны быть.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Как Благая Весть об Иисусе меняет жизни людей и их поведение.</w:t>
      </w:r>
    </w:p>
    <w:p>
      <w:pPr>
        <w:pStyle w:val="ListBullet"/>
        <w:spacing w:line="240" w:lineRule="auto"/>
        <w:ind w:left="720"/>
      </w:pPr>
      <w:r/>
      <w:r>
        <w:t>Как организовать церкви на Крите.</w:t>
      </w:r>
    </w:p>
    <w:p>
      <w:pPr>
        <w:pStyle w:val="ListBullet"/>
        <w:spacing w:line="240" w:lineRule="auto"/>
        <w:ind w:left="720"/>
      </w:pPr>
      <w:r/>
      <w:r>
        <w:t>Как справляться с людьми, которые учат тому, что не является истиной.</w:t>
      </w:r>
    </w:p>
    <w:p>
      <w:pPr>
        <w:pStyle w:val="ListBullet"/>
        <w:spacing w:line="240" w:lineRule="auto"/>
        <w:ind w:left="720"/>
      </w:pPr>
      <w:r/>
      <w:r>
        <w:t>Святая жизнь и добрые дела.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(1:1–4).</w:t>
      </w:r>
    </w:p>
    <w:p>
      <w:r/>
      <w:r>
        <w:rPr>
          <w:b/>
        </w:rPr>
        <w:t>Руководители церкви на Крите (1:5–9).</w:t>
      </w:r>
    </w:p>
    <w:p>
      <w:r/>
      <w:r>
        <w:rPr>
          <w:b/>
        </w:rPr>
        <w:t>Проблема лжеучителей (1:10–16).</w:t>
      </w:r>
    </w:p>
    <w:p>
      <w:r/>
      <w:r>
        <w:rPr>
          <w:b/>
        </w:rPr>
        <w:t>Семьи на Крите (2).</w:t>
      </w:r>
    </w:p>
    <w:p>
      <w:r/>
      <w:r>
        <w:rPr>
          <w:b/>
        </w:rPr>
        <w:t>Божья доброта и благодеяния другим (3:1–11).</w:t>
      </w:r>
    </w:p>
    <w:p>
      <w:r/>
      <w:r>
        <w:rPr>
          <w:b/>
        </w:rPr>
        <w:t>Заключительные приветствия (3:12–15).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