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Biblica Study Notes (Book Intros)</w:t>
      </w:r>
      <w:r>
        <w:t xml:space="preserve"> (Russian) is based on</w:t>
      </w:r>
      <w:r>
        <w:t xml:space="preserve">: </w:t>
      </w:r>
      <w:r>
        <w:t>Biblica Study Notes</w:t>
      </w:r>
      <w:r>
        <w:t xml:space="preserve">, </w:t>
      </w:r>
      <w:hyperlink r:id="rId13">
        <w:r>
          <w:rPr>
            <w:color w:val="0000EE"/>
            <w:u w:val="single"/>
          </w:rPr>
          <w:t>Biblica Inc.</w:t>
        </w:r>
      </w:hyperlink>
      <w:r>
        <w:t xml:space="preserve">, 2023,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Biblica Study Notes (Book Intros)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Первое послание Петра</w:t>
      </w:r>
      <w:r/>
    </w:p>
    <w:p>
      <w:r/>
      <w:r>
        <w:rPr>
          <w:b/>
        </w:rPr>
        <w:t>Что из себя представляет Первое послание Петра?</w:t>
      </w:r>
    </w:p>
    <w:p>
      <w:pPr>
        <w:pStyle w:val="ListBullet"/>
        <w:spacing w:line="240" w:lineRule="auto"/>
        <w:ind w:left="720"/>
      </w:pPr>
      <w:r/>
      <w:r>
        <w:t>Первое послание Петра — это письмо Петра. Сила помог Петру его написать.</w:t>
      </w:r>
    </w:p>
    <w:p>
      <w:pPr>
        <w:pStyle w:val="ListBullet"/>
        <w:spacing w:line="240" w:lineRule="auto"/>
        <w:ind w:left="720"/>
      </w:pPr>
      <w:r/>
      <w:r>
        <w:t>Считается, что Пётр написал это послание из Рима. Скорее всего, он написал его примерно в 63 г. н.э.</w:t>
      </w:r>
    </w:p>
    <w:p>
      <w:pPr>
        <w:pStyle w:val="ListBullet"/>
        <w:spacing w:line="240" w:lineRule="auto"/>
        <w:ind w:left="720"/>
      </w:pPr>
      <w:r/>
      <w:r>
        <w:t>В Новый Завет включены два послания Петра. Это первое послание.</w:t>
      </w:r>
    </w:p>
    <w:p>
      <w:r/>
      <w:r>
        <w:rPr>
          <w:b/>
        </w:rPr>
        <w:t>Кому было написано Первое послание Петра?</w:t>
      </w:r>
    </w:p>
    <w:p>
      <w:pPr>
        <w:pStyle w:val="ListBullet"/>
        <w:spacing w:line="240" w:lineRule="auto"/>
        <w:ind w:left="720"/>
      </w:pPr>
      <w:r/>
      <w:r>
        <w:t>Верующим в римских провинциях Понт, Галатия, Каппадокия, Асия и Вифиния. Эти регионы находятся на территории современной Турции.</w:t>
      </w:r>
    </w:p>
    <w:p>
      <w:pPr>
        <w:pStyle w:val="ListBullet"/>
        <w:spacing w:line="240" w:lineRule="auto"/>
        <w:ind w:left="720"/>
      </w:pPr>
      <w:r/>
      <w:r>
        <w:t>Считается, что большинство из этих верующих были язычниками.</w:t>
      </w:r>
    </w:p>
    <w:p>
      <w:pPr>
        <w:pStyle w:val="ListBullet"/>
        <w:spacing w:line="240" w:lineRule="auto"/>
        <w:ind w:left="720"/>
      </w:pPr>
      <w:r/>
      <w:r>
        <w:t>Церковь признала, что Первое послание Петра раскрывает истину об Иисусе. Оно предназначено для всех людей во всём мире.</w:t>
      </w:r>
    </w:p>
    <w:p>
      <w:r/>
      <w:r>
        <w:rPr>
          <w:b/>
        </w:rPr>
        <w:t>Для чего было написано Первое послание Петра?</w:t>
      </w:r>
    </w:p>
    <w:p>
      <w:pPr>
        <w:pStyle w:val="ListBullet"/>
        <w:spacing w:line="240" w:lineRule="auto"/>
        <w:ind w:left="720"/>
      </w:pPr>
      <w:r/>
      <w:r>
        <w:t>Чтобы помочь общине последователей Иисуса жить с верой и мудростью.</w:t>
      </w:r>
    </w:p>
    <w:p>
      <w:pPr>
        <w:pStyle w:val="ListBullet"/>
        <w:spacing w:line="240" w:lineRule="auto"/>
        <w:ind w:left="720"/>
      </w:pPr>
      <w:r/>
      <w:r>
        <w:t>Чтобы поддержать верующих, которые страдали и подвергались гонениям за веру в Иисуса.</w:t>
      </w:r>
    </w:p>
    <w:p>
      <w:r/>
      <w:r>
        <w:rPr>
          <w:b/>
        </w:rPr>
        <w:t>Основные идеи</w:t>
      </w:r>
    </w:p>
    <w:p>
      <w:pPr>
        <w:pStyle w:val="ListBullet"/>
        <w:spacing w:line="240" w:lineRule="auto"/>
        <w:ind w:left="720"/>
      </w:pPr>
      <w:r/>
      <w:r>
        <w:t>Надеяться и не сдаваться во время страданий.</w:t>
      </w:r>
    </w:p>
    <w:p>
      <w:pPr>
        <w:pStyle w:val="ListBullet"/>
        <w:spacing w:line="240" w:lineRule="auto"/>
        <w:ind w:left="720"/>
      </w:pPr>
      <w:r/>
      <w:r>
        <w:t>Всегда делать добро, даже когда это трудно.</w:t>
      </w:r>
    </w:p>
    <w:p>
      <w:pPr>
        <w:pStyle w:val="ListBullet"/>
        <w:spacing w:line="240" w:lineRule="auto"/>
        <w:ind w:left="720"/>
      </w:pPr>
      <w:r/>
      <w:r>
        <w:t>Победа Иисуса над злом и всеми злыми духами.</w:t>
      </w:r>
    </w:p>
    <w:p>
      <w:r/>
      <w:r>
        <w:rPr>
          <w:b/>
        </w:rPr>
        <w:t>Содержание</w:t>
      </w:r>
    </w:p>
    <w:p>
      <w:r/>
      <w:r>
        <w:rPr>
          <w:b/>
        </w:rPr>
        <w:t>Приветствие (1:1–2).</w:t>
      </w:r>
    </w:p>
    <w:p>
      <w:r/>
      <w:r>
        <w:rPr>
          <w:b/>
        </w:rPr>
        <w:t>Живая надежда и живые камни (1:3 – 2:10).</w:t>
      </w:r>
    </w:p>
    <w:p>
      <w:r/>
      <w:r>
        <w:rPr>
          <w:b/>
        </w:rPr>
        <w:t>Святая жизнь среди неверующих (2:11 – 3:9).</w:t>
      </w:r>
    </w:p>
    <w:p>
      <w:r/>
      <w:r>
        <w:rPr>
          <w:b/>
        </w:rPr>
        <w:t>Страдания за веру в Иисуса (3:10 – 5:11).</w:t>
      </w:r>
    </w:p>
    <w:p>
      <w:r/>
      <w:r>
        <w:rPr>
          <w:b/>
        </w:rPr>
        <w:t>Заключительные приветствия (5:12–14).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