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Второе послание Петра</w:t>
      </w:r>
      <w:r/>
    </w:p>
    <w:p>
      <w:r/>
      <w:r>
        <w:rPr>
          <w:b/>
        </w:rPr>
        <w:t>Что из себя представляет Второе послание Петра?</w:t>
      </w:r>
    </w:p>
    <w:p>
      <w:pPr>
        <w:pStyle w:val="ListBullet"/>
        <w:spacing w:line="240" w:lineRule="auto"/>
        <w:ind w:left="720"/>
      </w:pPr>
      <w:r/>
      <w:r>
        <w:t>Второе послание Петра — это письмо Петра.</w:t>
      </w:r>
    </w:p>
    <w:p>
      <w:pPr>
        <w:pStyle w:val="ListBullet"/>
        <w:spacing w:line="240" w:lineRule="auto"/>
        <w:ind w:left="720"/>
      </w:pPr>
      <w:r/>
      <w:r>
        <w:t>Считается, что Пётр написал это послание из Рима. Скорее всего, он написал его примерно в 67 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два послания Петра. Это второе послание.</w:t>
      </w:r>
    </w:p>
    <w:p>
      <w:r/>
      <w:r>
        <w:rPr>
          <w:b/>
        </w:rPr>
        <w:t>Кому было написано Второе послание Петра?</w:t>
      </w:r>
    </w:p>
    <w:p>
      <w:pPr>
        <w:pStyle w:val="ListBullet"/>
        <w:spacing w:line="240" w:lineRule="auto"/>
        <w:ind w:left="720"/>
      </w:pPr>
      <w:r/>
      <w:r>
        <w:t>Точно не известно, кому было написано Второе послание Петра. Оно было адресовано верующим.</w:t>
      </w:r>
    </w:p>
    <w:p>
      <w:pPr>
        <w:pStyle w:val="ListBullet"/>
        <w:spacing w:line="240" w:lineRule="auto"/>
        <w:ind w:left="720"/>
      </w:pPr>
      <w:r/>
      <w:r>
        <w:t>Возможно, это были те же верующие, к которым Пётр писал в Первом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/>
      <w:r>
        <w:t xml:space="preserve">Церковь признала, что </w:t>
      </w:r>
      <w:r>
        <w:t>Второе послание Петра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Второе послание Петра?</w:t>
      </w:r>
    </w:p>
    <w:p>
      <w:pPr>
        <w:pStyle w:val="ListBullet"/>
        <w:spacing w:line="240" w:lineRule="auto"/>
        <w:ind w:left="720"/>
      </w:pPr>
      <w:r/>
      <w:r>
        <w:t>Чтобы противостоять людям, которые учили ложному об Иисусе.</w:t>
      </w:r>
    </w:p>
    <w:p>
      <w:pPr>
        <w:pStyle w:val="ListBullet"/>
        <w:spacing w:line="240" w:lineRule="auto"/>
        <w:ind w:left="720"/>
      </w:pPr>
      <w:r/>
      <w:r>
        <w:t>Чтобы вдохновить верующих жить так, чтобы угождать Богу.</w:t>
      </w:r>
    </w:p>
    <w:p>
      <w:pPr>
        <w:pStyle w:val="ListBullet"/>
        <w:spacing w:line="240" w:lineRule="auto"/>
        <w:ind w:left="720"/>
      </w:pPr>
      <w:r/>
      <w:r>
        <w:t>Чтобы помочь верующим быть готовыми ко второму пришествию Иисуса.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Благодать Божья делает верующих способными вести святую жизнь, даже когда они сталкиваются с трудностями.</w:t>
      </w:r>
    </w:p>
    <w:p>
      <w:pPr>
        <w:pStyle w:val="ListBullet"/>
        <w:spacing w:line="240" w:lineRule="auto"/>
        <w:ind w:left="720"/>
      </w:pPr>
      <w:r/>
      <w:r>
        <w:t>Верующие должны продолжать расти в вере и не верить ложным учениям.</w:t>
      </w:r>
    </w:p>
    <w:p>
      <w:pPr>
        <w:pStyle w:val="ListBullet"/>
        <w:spacing w:line="240" w:lineRule="auto"/>
        <w:ind w:left="720"/>
      </w:pPr>
      <w:r/>
      <w:r>
        <w:t>Иисус вернётся.</w:t>
      </w:r>
    </w:p>
    <w:p>
      <w:pPr>
        <w:pStyle w:val="ListBullet"/>
        <w:spacing w:line="240" w:lineRule="auto"/>
        <w:ind w:left="720"/>
      </w:pPr>
      <w:r/>
      <w:r>
        <w:t>Бог терпелив, потому что хочет, чтобы люди отвернулись от греха.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Необходимость жить святой жизнью (1:3–11).</w:t>
      </w:r>
    </w:p>
    <w:p>
      <w:r/>
      <w:r>
        <w:rPr>
          <w:b/>
        </w:rPr>
        <w:t>Необходимость помнить, на чём основана вера (1:12–21).</w:t>
      </w:r>
    </w:p>
    <w:p>
      <w:r/>
      <w:r>
        <w:rPr>
          <w:b/>
        </w:rPr>
        <w:t>Отказ верить лжеучителям (2).</w:t>
      </w:r>
    </w:p>
    <w:p>
      <w:r/>
      <w:r>
        <w:rPr>
          <w:b/>
        </w:rPr>
        <w:t>Последние дни и день Господень (3:1–16).</w:t>
      </w:r>
    </w:p>
    <w:p>
      <w:r/>
      <w:r>
        <w:rPr>
          <w:b/>
        </w:rPr>
        <w:t>Заключительные приветствия (3:17–18).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