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Второе послание Иоанна</w:t>
      </w:r>
      <w:r/>
    </w:p>
    <w:p>
      <w:r/>
      <w:r>
        <w:rPr>
          <w:b/>
        </w:rPr>
        <w:t>Что из себя представляет Второе послание Иоанна?</w:t>
      </w:r>
    </w:p>
    <w:p>
      <w:pPr>
        <w:pStyle w:val="ListBullet"/>
        <w:spacing w:line="240" w:lineRule="auto"/>
        <w:ind w:left="720"/>
      </w:pPr>
      <w:r/>
      <w:r>
        <w:t>Второе послание Иоанна — это письмо. В письме не указано, кто его написал. Считается, что его написал апостол Иоанн. Стиль написания этого письма очень похож на Первое послание Иоанна.</w:t>
      </w:r>
    </w:p>
    <w:p>
      <w:pPr>
        <w:pStyle w:val="ListBullet"/>
        <w:spacing w:line="240" w:lineRule="auto"/>
        <w:ind w:left="720"/>
      </w:pPr>
      <w:r/>
      <w:r>
        <w:t>Считается, что Иоанн написал это послание после написания Первого послания Иоанна. Предполагается, что он написал его примерно в 90 г. н.э.</w:t>
      </w:r>
    </w:p>
    <w:p>
      <w:pPr>
        <w:pStyle w:val="ListBullet"/>
        <w:spacing w:line="240" w:lineRule="auto"/>
        <w:ind w:left="720"/>
      </w:pPr>
      <w:r/>
      <w:r>
        <w:t>В Новый Завет включены три послания, которые, как считается, написал Иоанн. Это второе послание.</w:t>
      </w:r>
    </w:p>
    <w:p>
      <w:r/>
      <w:r>
        <w:rPr>
          <w:b/>
        </w:rPr>
        <w:t>Кому было написано Второе послание Иоанна?</w:t>
      </w:r>
    </w:p>
    <w:p>
      <w:pPr>
        <w:pStyle w:val="ListBullet"/>
        <w:spacing w:line="240" w:lineRule="auto"/>
        <w:ind w:left="720"/>
      </w:pPr>
      <w:r/>
      <w:r>
        <w:t>Точно не известно, кому адресовано Второе послание Иоанна. Считается, что Иоанн отправил его верующим церкви, которая собиралась в чьём-то доме. Предполагается, что эта домашняя церковь находилась в Ефесе.</w:t>
      </w:r>
    </w:p>
    <w:p>
      <w:pPr>
        <w:pStyle w:val="ListBullet"/>
        <w:spacing w:line="240" w:lineRule="auto"/>
        <w:ind w:left="720"/>
      </w:pPr>
      <w:r/>
      <w:r>
        <w:t>Церковь признала, что Второе послание Иоанна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Второе послание Иоанна?</w:t>
      </w:r>
    </w:p>
    <w:p>
      <w:pPr>
        <w:pStyle w:val="ListBullet"/>
        <w:spacing w:line="240" w:lineRule="auto"/>
        <w:ind w:left="720"/>
      </w:pPr>
      <w:r/>
      <w:r>
        <w:t>Чтобы напомнить верующим о том, что Бог повелел им делать.</w:t>
      </w:r>
    </w:p>
    <w:p>
      <w:pPr>
        <w:pStyle w:val="ListBullet"/>
        <w:spacing w:line="240" w:lineRule="auto"/>
        <w:ind w:left="720"/>
      </w:pPr>
      <w:r/>
      <w:r>
        <w:t>Чтобы напомнить верующим истину об Иисусе.</w:t>
      </w:r>
    </w:p>
    <w:p>
      <w:pPr>
        <w:pStyle w:val="ListBullet"/>
        <w:spacing w:line="240" w:lineRule="auto"/>
        <w:ind w:left="720"/>
      </w:pPr>
      <w:r/>
      <w:r>
        <w:t>Чтобы предостеречь их, не позволять лжеучителям учить в церкви.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Верующие должны жить жизнью в любви.</w:t>
      </w:r>
    </w:p>
    <w:p>
      <w:pPr>
        <w:pStyle w:val="ListBullet"/>
        <w:spacing w:line="240" w:lineRule="auto"/>
        <w:ind w:left="720"/>
      </w:pPr>
      <w:r/>
      <w:r>
        <w:t>Лжеучители утверждали, что Иисус не был человеком.</w:t>
      </w:r>
    </w:p>
    <w:p>
      <w:pPr>
        <w:pStyle w:val="ListBullet"/>
        <w:spacing w:line="240" w:lineRule="auto"/>
        <w:ind w:left="720"/>
      </w:pPr>
      <w:r/>
      <w:r>
        <w:t>Верующие — это семья, потому что они принадлежат Богу и следуют учению Христа.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(1:1–3).</w:t>
      </w:r>
    </w:p>
    <w:p>
      <w:r/>
      <w:r>
        <w:rPr>
          <w:b/>
        </w:rPr>
        <w:t>Иоанн ободряет и предостерегает верующих (1:4–11).</w:t>
      </w:r>
    </w:p>
    <w:p>
      <w:r/>
      <w:r>
        <w:rPr>
          <w:b/>
        </w:rPr>
        <w:t>Заключительные приветствия (1:12–13).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