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Иуды</w:t>
      </w:r>
      <w:r/>
    </w:p>
    <w:p>
      <w:r/>
      <w:r>
        <w:rPr>
          <w:b/>
        </w:rPr>
        <w:t>Что из себя представляет Послание</w:t>
      </w:r>
      <w:r>
        <w:t xml:space="preserve"> </w:t>
      </w:r>
      <w:r>
        <w:rPr>
          <w:b/>
        </w:rPr>
        <w:t>Иуды?</w:t>
      </w:r>
    </w:p>
    <w:p>
      <w:pPr>
        <w:pStyle w:val="ListBullet"/>
        <w:spacing w:line="240" w:lineRule="auto"/>
        <w:ind w:left="720"/>
      </w:pPr>
      <w:r/>
      <w:r>
        <w:t>Послание Иуды — это письмо Иуды, брата Иисуса.</w:t>
      </w:r>
    </w:p>
    <w:p>
      <w:pPr>
        <w:pStyle w:val="ListBullet"/>
        <w:spacing w:line="240" w:lineRule="auto"/>
        <w:ind w:left="720"/>
      </w:pPr>
      <w:r/>
      <w:r>
        <w:t>Считается, что Иуда написал его около 65 г. н.э.</w:t>
      </w:r>
    </w:p>
    <w:p>
      <w:r/>
      <w:r>
        <w:rPr>
          <w:b/>
        </w:rPr>
        <w:t>Кому было написано Послание Иуды?</w:t>
      </w:r>
    </w:p>
    <w:p>
      <w:pPr>
        <w:pStyle w:val="ListBullet"/>
        <w:spacing w:line="240" w:lineRule="auto"/>
        <w:ind w:left="720"/>
      </w:pPr>
      <w:r/>
      <w:r>
        <w:t>Точно не известно, кому было написано Послание Иакова. Предполагается, что оно было адресовано верующим иудеям.</w:t>
      </w:r>
    </w:p>
    <w:p>
      <w:pPr>
        <w:pStyle w:val="ListBullet"/>
        <w:spacing w:line="240" w:lineRule="auto"/>
        <w:ind w:left="720"/>
      </w:pPr>
      <w:r/>
      <w:r>
        <w:t>Второе послание Петра и Послание Иуды во многом схожи. Возможно, Иуда писал тем же верующим, которые упоминаются во Втором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Иуды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Иуды?</w:t>
      </w:r>
    </w:p>
    <w:p>
      <w:pPr>
        <w:pStyle w:val="ListBullet"/>
        <w:spacing w:line="240" w:lineRule="auto"/>
        <w:ind w:left="720"/>
      </w:pPr>
      <w:r/>
      <w:r>
        <w:t>Чтобы предупредить верующих о лжеучителях.</w:t>
      </w:r>
    </w:p>
    <w:p>
      <w:pPr>
        <w:pStyle w:val="ListBullet"/>
        <w:spacing w:line="240" w:lineRule="auto"/>
        <w:ind w:left="720"/>
      </w:pPr>
      <w:r/>
      <w:r>
        <w:t>Чтобы побуждать верующих укрепляться в вере.</w:t>
      </w:r>
    </w:p>
    <w:p>
      <w:pPr>
        <w:pStyle w:val="ListBullet"/>
        <w:spacing w:line="240" w:lineRule="auto"/>
        <w:ind w:left="720"/>
      </w:pPr>
      <w:r/>
      <w:r>
        <w:t>Чтобы призвать лжеучителей отвернуться от своего греха.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Держаться истинной веры и отвергать ложные учения.</w:t>
      </w:r>
    </w:p>
    <w:p>
      <w:pPr>
        <w:pStyle w:val="ListBullet"/>
        <w:spacing w:line="240" w:lineRule="auto"/>
        <w:ind w:left="720"/>
      </w:pPr>
      <w:r/>
      <w:r>
        <w:t>Напоминание верующим, что нечестивые будут уничтожены.</w:t>
      </w:r>
    </w:p>
    <w:p>
      <w:pPr>
        <w:pStyle w:val="ListBullet"/>
        <w:spacing w:line="240" w:lineRule="auto"/>
        <w:ind w:left="720"/>
      </w:pPr>
      <w:r/>
      <w:r>
        <w:t>Оставаться в Божьей любви.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Распознавание лжеучителей (1:3–19).</w:t>
      </w:r>
    </w:p>
    <w:p>
      <w:r/>
      <w:r>
        <w:rPr>
          <w:b/>
        </w:rPr>
        <w:t>Сохраняйте себя в Божьей любви (1:20–23).</w:t>
      </w:r>
    </w:p>
    <w:p>
      <w:r/>
      <w:r>
        <w:rPr>
          <w:b/>
        </w:rPr>
        <w:t>Хвала Богу (1:24–25).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