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Filemón</w:t>
      </w:r>
      <w:r/>
    </w:p>
    <w:p>
      <w:r/>
      <w:r>
        <w:rPr>
          <w:b/>
        </w:rPr>
        <w:t>¿Qué es la carta a Filemón?</w:t>
      </w:r>
    </w:p>
    <w:p>
      <w:pPr>
        <w:pStyle w:val="ListBullet"/>
        <w:spacing w:line="240" w:lineRule="auto"/>
        <w:ind w:left="720"/>
      </w:pPr>
      <w:r/>
      <w:r>
        <w:t>La carta a Filemón es una carta de Pablo. Timoteo ayudó a Pablo a escribirla.</w:t>
      </w:r>
    </w:p>
    <w:p>
      <w:pPr>
        <w:pStyle w:val="ListBullet"/>
        <w:spacing w:line="240" w:lineRule="auto"/>
        <w:ind w:left="720"/>
      </w:pPr>
      <w:r/>
      <w:r>
        <w:t>Se cree que Pablo la escribió alrededor del año 60 d.C.</w:t>
      </w:r>
    </w:p>
    <w:p>
      <w:r/>
      <w:r>
        <w:rPr>
          <w:b/>
        </w:rPr>
        <w:t>¿Para quién fue escrita la carta a Filemón?</w:t>
      </w:r>
    </w:p>
    <w:p>
      <w:pPr>
        <w:pStyle w:val="ListBullet"/>
        <w:spacing w:line="240" w:lineRule="auto"/>
        <w:ind w:left="720"/>
      </w:pPr>
      <w:r/>
      <w:r>
        <w:t>A Filemón, su familia y la iglesia que se reunía en su hogar.</w:t>
      </w:r>
    </w:p>
    <w:p>
      <w:pPr>
        <w:pStyle w:val="ListBullet"/>
        <w:spacing w:line="240" w:lineRule="auto"/>
        <w:ind w:left="720"/>
      </w:pPr>
      <w:r/>
      <w:r>
        <w:t>Los seguidores de Jesús reconocen que Filemón comparte la verdad sobre Jesús. Es para todas las personas en todas partes.</w:t>
      </w:r>
    </w:p>
    <w:p>
      <w:r/>
      <w:r>
        <w:rPr>
          <w:b/>
        </w:rPr>
        <w:t>¿Por qué se escribió la carta a Filemón?</w:t>
      </w:r>
    </w:p>
    <w:p>
      <w:pPr>
        <w:pStyle w:val="ListBullet"/>
        <w:spacing w:line="240" w:lineRule="auto"/>
        <w:ind w:left="720"/>
      </w:pPr>
      <w:r/>
      <w:r>
        <w:t>Pedir a Filemón que reciba a Onésimo como un hermano y no como un esclavo.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Dios reunió a Onésimo y Pablo.</w:t>
      </w:r>
    </w:p>
    <w:p>
      <w:pPr>
        <w:pStyle w:val="ListBullet"/>
        <w:spacing w:line="240" w:lineRule="auto"/>
        <w:ind w:left="720"/>
      </w:pPr>
      <w:r/>
      <w:r>
        <w:t>La buena nueva cambió la vida de Onésimo.</w:t>
      </w:r>
    </w:p>
    <w:p>
      <w:pPr>
        <w:pStyle w:val="ListBullet"/>
        <w:spacing w:line="240" w:lineRule="auto"/>
        <w:ind w:left="720"/>
      </w:pPr>
      <w:r/>
      <w:r>
        <w:t>La buena nueva puede cambiar la relación entre un dueño de esclavos y un esclavo.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(1:1–3).</w:t>
      </w:r>
    </w:p>
    <w:p>
      <w:r/>
      <w:r>
        <w:rPr>
          <w:b/>
        </w:rPr>
        <w:t>Oración y acción de gracias (1:4–7).</w:t>
      </w:r>
    </w:p>
    <w:p>
      <w:r/>
      <w:r>
        <w:rPr>
          <w:b/>
        </w:rPr>
        <w:t>Pablo hace un pedido por Onésimo (1:8–22).</w:t>
      </w:r>
    </w:p>
    <w:p>
      <w:r/>
      <w:r>
        <w:rPr>
          <w:b/>
        </w:rPr>
        <w:t>Saludos finales (1:23–25).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