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r/>
    </w:p>
    <w:p>
      <w:pPr>
        <w:pStyle w:val="Heading2"/>
      </w:pPr>
      <w:r>
        <w:t>License Information</w:t>
      </w:r>
      <w:r/>
    </w:p>
    <w:p>
      <w:r/>
      <w:r>
        <w:rPr>
          <w:b/>
        </w:rPr>
        <w:t>Study Notes - Book Intros (Biblica)</w:t>
      </w:r>
      <w:r>
        <w:t xml:space="preserve"> (Chinese (Traditional)) is based on</w:t>
      </w:r>
      <w:r>
        <w:t xml:space="preserve">: </w:t>
      </w:r>
      <w:r>
        <w:t>Biblica Study Notes</w:t>
      </w:r>
      <w:r>
        <w:t xml:space="preserve">, </w:t>
      </w:r>
      <w:hyperlink r:id="rId13">
        <w:r>
          <w:rPr>
            <w:color w:val="0000EE"/>
            <w:u w:val="single"/>
          </w:rPr>
          <w:t>Biblica Inc.</w:t>
        </w:r>
      </w:hyperlink>
      <w:r>
        <w:t xml:space="preserve">, 2023, which is licensed under a </w:t>
      </w:r>
      <w:hyperlink r:id="rId14">
        <w:r>
          <w:rPr>
            <w:color w:val="0000EE"/>
            <w:u w:val="single"/>
          </w:rPr>
          <w:t>CC BY-SA 4.0 license</w:t>
        </w:r>
      </w:hyperlink>
      <w:r>
        <w:t>.</w:t>
      </w:r>
      <w:r/>
    </w:p>
    <w:p>
      <w:r/>
      <w:r>
        <w:t>This PDF version is provided under the same license.</w:t>
      </w:r>
      <w:r/>
      <w:r/>
    </w:p>
    <w:p>
      <w:pPr>
        <w:pStyle w:val="Heading1"/>
      </w:pPr>
      <w:r>
        <w:t>Study Notes - Book Intros (Biblica)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r/>
    </w:p>
    <w:p>
      <w:pPr>
        <w:pStyle w:val="Heading2"/>
      </w:pPr>
      <w:r>
        <w:t>撒母耳記下</w:t>
      </w:r>
      <w:r/>
    </w:p>
    <w:p>
      <w:r/>
      <w:r>
        <w:rPr>
          <w:b/>
        </w:rPr>
        <w:t>撒母耳記下是一卷什麼樣的書？</w:t>
      </w:r>
    </w:p>
    <w:p>
      <w:pPr>
        <w:pStyle w:val="ListBullet"/>
        <w:spacing w:line="240" w:lineRule="auto"/>
        <w:ind w:left="720"/>
      </w:pPr>
      <w:r/>
      <w:r>
        <w:t>撒母耳記下是以色列歷史的記載。一般認為這些事件發生在公元前1010年至970年間。關於這些事件的故事在數百年間流傳。它們在以色列和猶太家庭中代代相傳。</w:t>
      </w:r>
    </w:p>
    <w:p>
      <w:pPr>
        <w:pStyle w:val="ListBullet"/>
        <w:spacing w:line="240" w:lineRule="auto"/>
        <w:ind w:left="720"/>
      </w:pPr>
      <w:r/>
      <w:r>
        <w:t>一般認為祭司亞比亞他記錄了這些故事的一部分。</w:t>
      </w:r>
    </w:p>
    <w:p>
      <w:pPr>
        <w:pStyle w:val="ListBullet"/>
        <w:spacing w:line="240" w:lineRule="auto"/>
        <w:ind w:left="720"/>
      </w:pPr>
      <w:r/>
      <w:r>
        <w:t>撒母耳記下的其它部分則由其他的以色列人記錄下來。</w:t>
      </w:r>
    </w:p>
    <w:p>
      <w:pPr>
        <w:pStyle w:val="ListBullet"/>
        <w:spacing w:line="240" w:lineRule="auto"/>
        <w:ind w:left="720"/>
      </w:pPr>
      <w:r/>
      <w:r>
        <w:t>聖經中有兩卷書以先知撒母耳命名，最初它們是一卷書，後來被分成上下兩卷。</w:t>
      </w:r>
    </w:p>
    <w:p>
      <w:r/>
      <w:r>
        <w:rPr>
          <w:b/>
        </w:rPr>
        <w:t>這卷書為誰而寫？</w:t>
      </w:r>
    </w:p>
    <w:p>
      <w:pPr>
        <w:pStyle w:val="ListBullet"/>
        <w:spacing w:line="240" w:lineRule="auto"/>
        <w:ind w:left="720"/>
      </w:pPr>
      <w:r/>
      <w:r>
        <w:t>寫給以色列的百姓。</w:t>
      </w:r>
    </w:p>
    <w:p>
      <w:r/>
      <w:r>
        <w:rPr>
          <w:b/>
        </w:rPr>
        <w:t>撒母耳記下為何而寫？</w:t>
      </w:r>
    </w:p>
    <w:p>
      <w:pPr>
        <w:pStyle w:val="ListBullet"/>
        <w:spacing w:line="240" w:lineRule="auto"/>
        <w:ind w:left="720"/>
      </w:pPr>
      <w:r/>
      <w:r>
        <w:t>為了記錄大衛作為以色列君王的統治。</w:t>
      </w:r>
    </w:p>
    <w:p>
      <w:pPr>
        <w:pStyle w:val="ListBullet"/>
        <w:spacing w:line="240" w:lineRule="auto"/>
        <w:ind w:left="720"/>
      </w:pPr>
      <w:r/>
      <w:r>
        <w:t>為了記錄以色列在大衛公平治理下所享有的和平與安息。</w:t>
      </w:r>
    </w:p>
    <w:p>
      <w:pPr>
        <w:pStyle w:val="ListBullet"/>
        <w:spacing w:line="240" w:lineRule="auto"/>
        <w:ind w:left="720"/>
      </w:pPr>
      <w:r/>
      <w:r>
        <w:t>為了記錄大衛不順服神時所帶來的苦難。</w:t>
      </w:r>
    </w:p>
    <w:p>
      <w:pPr>
        <w:pStyle w:val="ListBullet"/>
        <w:spacing w:line="240" w:lineRule="auto"/>
        <w:ind w:left="720"/>
      </w:pPr>
      <w:r/>
      <w:r>
        <w:t>撒母耳記上、撒母耳記下、列王紀上和列王紀下共同組成一個完整的故事，共同記錄了超過四百年的以色列歷史。</w:t>
      </w:r>
    </w:p>
    <w:p>
      <w:r/>
      <w:r>
        <w:rPr>
          <w:b/>
        </w:rPr>
        <w:t>主要思想</w:t>
      </w:r>
    </w:p>
    <w:p>
      <w:pPr>
        <w:pStyle w:val="ListBullet"/>
        <w:spacing w:line="240" w:lineRule="auto"/>
        <w:ind w:left="720"/>
      </w:pPr>
      <w:r/>
      <w:r>
        <w:t>神與大衛及其家族立約。</w:t>
      </w:r>
    </w:p>
    <w:p>
      <w:pPr>
        <w:pStyle w:val="ListBullet"/>
        <w:spacing w:line="240" w:lineRule="auto"/>
        <w:ind w:left="720"/>
      </w:pPr>
      <w:r/>
      <w:r>
        <w:t>即使大衛不忠於神，神仍然對大衛信實。</w:t>
      </w:r>
    </w:p>
    <w:p>
      <w:pPr>
        <w:pStyle w:val="ListBullet"/>
        <w:spacing w:line="240" w:lineRule="auto"/>
        <w:ind w:left="720"/>
      </w:pPr>
      <w:r/>
      <w:r>
        <w:t>大衛犯罪後回轉向神並悔改，他信靠神的憐憫。</w:t>
      </w:r>
    </w:p>
    <w:p>
      <w:r/>
      <w:r>
        <w:rPr>
          <w:b/>
        </w:rPr>
        <w:t>大綱</w:t>
      </w:r>
    </w:p>
    <w:p>
      <w:r/>
      <w:r>
        <w:rPr>
          <w:b/>
        </w:rPr>
        <w:t>大衛在掃羅去世後被立為君王（1:1－5:4）。</w:t>
      </w:r>
    </w:p>
    <w:p>
      <w:r/>
      <w:r>
        <w:rPr>
          <w:b/>
        </w:rPr>
        <w:t>大衛在耶路撒冷作王（5:5－14:33）。</w:t>
      </w:r>
    </w:p>
    <w:p>
      <w:r/>
      <w:r>
        <w:rPr>
          <w:b/>
        </w:rPr>
        <w:t>押沙龍挑戰大衛的王位（15 – 19章）。</w:t>
      </w:r>
    </w:p>
    <w:p>
      <w:r/>
      <w:r>
        <w:rPr>
          <w:b/>
        </w:rPr>
        <w:t>大衛再次在耶路撒冷作王（20 ­­– 24章）。</w:t>
      </w:r>
      <w:r/>
      <w:r/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www.biblica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