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那鴻書</w:t>
      </w:r>
      <w:r/>
    </w:p>
    <w:p>
      <w:r/>
      <w:r>
        <w:rPr>
          <w:b/>
        </w:rPr>
        <w:t>那鴻書是一卷什麼樣的書？</w:t>
      </w:r>
    </w:p>
    <w:p>
      <w:pPr>
        <w:pStyle w:val="ListBullet"/>
        <w:spacing w:line="240" w:lineRule="auto"/>
        <w:ind w:left="720"/>
      </w:pPr>
      <w:r/>
      <w:r>
        <w:t>那鴻書是以色列先知的書卷，包含那鴻從神那裡得到異象後所傳講的信息。</w:t>
      </w:r>
    </w:p>
    <w:p>
      <w:pPr>
        <w:pStyle w:val="ListBullet"/>
        <w:spacing w:line="240" w:lineRule="auto"/>
        <w:ind w:left="720"/>
      </w:pPr>
      <w:r/>
      <w:r>
        <w:t>大多數的信息是關於亞述的人民和君王。</w:t>
      </w:r>
    </w:p>
    <w:p>
      <w:pPr>
        <w:pStyle w:val="ListBullet"/>
        <w:spacing w:line="240" w:lineRule="auto"/>
        <w:ind w:left="720"/>
      </w:pPr>
      <w:r/>
      <w:r>
        <w:t>我們不清楚那鴻的家鄉或家族背景。一般認為那鴻是在公元前663年之後說這些預言，當時亞述控制了底比斯城（Thebes，即：諾亞們）；這些信息在公元前612年巴比倫推翻亞述之前被傳達。</w:t>
      </w:r>
    </w:p>
    <w:p>
      <w:pPr>
        <w:pStyle w:val="ListBullet"/>
        <w:spacing w:line="240" w:lineRule="auto"/>
        <w:ind w:left="720"/>
      </w:pPr>
      <w:r/>
      <w:r>
        <w:t>這些信息以詩歌形式寫成。</w:t>
      </w:r>
    </w:p>
    <w:p>
      <w:pPr>
        <w:pStyle w:val="ListBullet"/>
        <w:spacing w:line="240" w:lineRule="auto"/>
        <w:ind w:left="720"/>
      </w:pPr>
      <w:r/>
      <w:r>
        <w:t>一般認為由那鴻所寫。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寫給南國猶大的百姓。</w:t>
      </w:r>
    </w:p>
    <w:p>
      <w:r/>
      <w:r>
        <w:rPr>
          <w:b/>
        </w:rPr>
        <w:t>那鴻書為何而寫？</w:t>
      </w:r>
    </w:p>
    <w:p>
      <w:pPr>
        <w:pStyle w:val="ListBullet"/>
        <w:spacing w:line="240" w:lineRule="auto"/>
        <w:ind w:left="720"/>
      </w:pPr>
      <w:r/>
      <w:r>
        <w:t>為了解釋神對亞述的審判。</w:t>
      </w:r>
    </w:p>
    <w:p>
      <w:pPr>
        <w:pStyle w:val="ListBullet"/>
        <w:spacing w:line="240" w:lineRule="auto"/>
        <w:ind w:left="720"/>
      </w:pPr>
      <w:r/>
      <w:r>
        <w:t>為了提醒南國百姓，神在保護他們。</w:t>
      </w:r>
    </w:p>
    <w:p>
      <w:pPr>
        <w:pStyle w:val="ListBullet"/>
        <w:spacing w:line="240" w:lineRule="auto"/>
        <w:ind w:left="720"/>
      </w:pPr>
      <w:r/>
      <w:r>
        <w:t>為了用好消息安慰南國百姓，神對亞述的審判是對所有受亞述壓迫之人的好消息。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神大有能力，祂完全掌控祂所創造的一切以及所有人類政權。</w:t>
      </w:r>
    </w:p>
    <w:p>
      <w:pPr>
        <w:pStyle w:val="ListBullet"/>
        <w:spacing w:line="240" w:lineRule="auto"/>
        <w:ind w:left="720"/>
      </w:pPr>
      <w:r/>
      <w:r>
        <w:t>神對罪惡和邪惡感到忿怒，祂透過審判來阻止作惡的人和政權。</w:t>
      </w:r>
    </w:p>
    <w:p>
      <w:pPr>
        <w:pStyle w:val="ListBullet"/>
        <w:spacing w:line="240" w:lineRule="auto"/>
        <w:ind w:left="720"/>
      </w:pPr>
      <w:r/>
      <w:r>
        <w:t>神是良善的，祂照顧那些信靠祂的人。</w:t>
      </w:r>
    </w:p>
    <w:p>
      <w:r/>
      <w:r>
        <w:rPr>
          <w:b/>
        </w:rPr>
        <w:t>大綱</w:t>
      </w:r>
    </w:p>
    <w:p>
      <w:r/>
      <w:r>
        <w:rPr>
          <w:b/>
        </w:rPr>
        <w:t>那鴻描述神的性格（1:1–8）。</w:t>
      </w:r>
    </w:p>
    <w:p>
      <w:r/>
      <w:r>
        <w:rPr>
          <w:b/>
        </w:rPr>
        <w:t>神對尼尼微的命令（1:9–15）。</w:t>
      </w:r>
    </w:p>
    <w:p>
      <w:r/>
      <w:r>
        <w:rPr>
          <w:b/>
        </w:rPr>
        <w:t>那鴻關於尼尼微被毀的異象（2 – 3章）。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