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Biblica Study Notes</w:t>
      </w:r>
      <w:r>
        <w:rPr>
          <w:lang w:val="zh_TW" w:bidi="zh_TW"/>
        </w:rPr>
      </w:r>
    </w:p>
    <w:p>
      <w:pPr/>
      <w:r>
        <w:rPr>
          <w:lang w:val="zh_TW" w:bidi="zh_TW"/>
        </w:rPr>
      </w:r>
      <w:r>
        <w:rPr>
          <w:b/>
          <w:lang w:val="zh_TW" w:bidi="zh_TW"/>
        </w:rPr>
        <w:t>Biblica Study Notes (Book Intros)</w:t>
      </w:r>
      <w:r>
        <w:rPr>
          <w:lang w:val="zh_TW" w:bidi="zh_TW"/>
        </w:rPr>
        <w:t xml:space="preserve"> © 2023 Biblica Inc. Released under CC BY-SA 4.0 license. </w:t>
      </w:r>
      <w:r>
        <w:rPr>
          <w:lang w:val="zh_TW" w:bidi="zh_TW"/>
        </w:rPr>
        <w:t>Biblica Study Notes</w:t>
      </w:r>
      <w:r>
        <w:rPr>
          <w:lang w:val="zh_TW" w:bidi="zh_TW"/>
        </w:rPr>
        <w:t xml:space="preserve"> has been adapted in the following languages: Tok Pisin, Arabic (عربي), French (Français), Hindi (हिंदी), Indonesian (Bahasa Indonesia), Portuguese (Português), Russian (Русский), Spanish (Español), Swahili (Kiswahili), and Simplified Chinese (简体中文)from </w:t>
      </w:r>
      <w:r>
        <w:rPr>
          <w:lang w:val="zh_TW" w:bidi="zh_TW"/>
        </w:rPr>
        <w:t>Biblica Study Notes</w:t>
      </w:r>
      <w:r>
        <w:rPr>
          <w:lang w:val="zh_TW" w:bidi="zh_TW"/>
        </w:rPr>
        <w:t xml:space="preserve"> © 2023 Biblica Inc. Released under CC BY-SA 4.0 license by Mission Mutual</w:t>
      </w:r>
      <w:r>
        <w:rPr>
          <w:lang w:val="zh_TW" w:bidi="zh_TW"/>
        </w:rPr>
      </w:r>
      <w:r>
        <w:rPr>
          <w:lang w:val="zh_TW" w:bidi="zh_TW"/>
        </w:rPr>
      </w:r>
    </w:p>
    <w:p>
      <w:pPr>
        <w:pStyle w:val="Heading1"/>
      </w:pPr>
      <w:r>
        <w:rPr>
          <w:lang w:val="zh_TW" w:bidi="zh_TW"/>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HEB</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希伯來書</w:t>
      </w:r>
      <w:r>
        <w:rPr>
          <w:lang w:val="zh_TW" w:bidi="zh_TW"/>
        </w:rPr>
      </w:r>
    </w:p>
    <w:p>
      <w:pPr/>
      <w:r>
        <w:rPr>
          <w:lang w:val="zh_TW" w:bidi="zh_TW"/>
        </w:rPr>
      </w:r>
      <w:r>
        <w:rPr>
          <w:b/>
          <w:lang w:val="zh_TW" w:bidi="zh_TW"/>
        </w:rPr>
        <w:t>希伯來書是一卷什麼樣的書？</w:t>
      </w:r>
    </w:p>
    <w:p>
      <w:pPr>
        <w:pStyle w:val="ListBullet"/>
        <w:spacing w:line="240" w:lineRule="auto"/>
        <w:ind w:left="720"/>
      </w:pPr>
      <w:r>
        <w:rPr>
          <w:lang w:val="zh_TW" w:bidi="zh_TW"/>
        </w:rPr>
      </w:r>
      <w:r>
        <w:rPr>
          <w:lang w:val="zh_TW" w:bidi="zh_TW"/>
        </w:rPr>
        <w:t>希伯來書是一封信，作者不詳。一般認為作者曾與保羅一同工作。</w:t>
      </w:r>
    </w:p>
    <w:p>
      <w:pPr>
        <w:pStyle w:val="ListBullet"/>
        <w:spacing w:line="240" w:lineRule="auto"/>
        <w:ind w:left="720"/>
      </w:pPr>
      <w:r>
        <w:rPr>
          <w:lang w:val="zh_TW" w:bidi="zh_TW"/>
        </w:rPr>
      </w:r>
      <w:r>
        <w:rPr>
          <w:lang w:val="zh_TW" w:bidi="zh_TW"/>
        </w:rPr>
        <w:t>一般認為希伯來書寫於公元65年左右。這是在公元70年耶路撒冷和聖殿被毀之前寫成的。</w:t>
      </w:r>
    </w:p>
    <w:p>
      <w:pPr/>
      <w:r>
        <w:rPr>
          <w:lang w:val="zh_TW" w:bidi="zh_TW"/>
        </w:rPr>
      </w:r>
      <w:r>
        <w:rPr>
          <w:b/>
          <w:lang w:val="zh_TW" w:bidi="zh_TW"/>
        </w:rPr>
        <w:t>希伯來書為誰而寫？</w:t>
      </w:r>
    </w:p>
    <w:p>
      <w:pPr>
        <w:pStyle w:val="ListBullet"/>
        <w:spacing w:line="240" w:lineRule="auto"/>
        <w:ind w:left="720"/>
      </w:pPr>
      <w:r>
        <w:rPr>
          <w:lang w:val="zh_TW" w:bidi="zh_TW"/>
        </w:rPr>
      </w:r>
      <w:r>
        <w:rPr>
          <w:lang w:val="zh_TW" w:bidi="zh_TW"/>
        </w:rPr>
        <w:t>希伯來書的具體寫作對象不詳，但一般認為是寫給羅馬的猶太信徒群體。收信人與作者相識甚深。</w:t>
      </w:r>
    </w:p>
    <w:p>
      <w:pPr>
        <w:pStyle w:val="ListBullet"/>
        <w:spacing w:line="240" w:lineRule="auto"/>
        <w:ind w:left="720"/>
      </w:pPr>
      <w:r>
        <w:rPr>
          <w:lang w:val="zh_TW" w:bidi="zh_TW"/>
        </w:rPr>
      </w:r>
      <w:r>
        <w:rPr>
          <w:lang w:val="zh_TW" w:bidi="zh_TW"/>
        </w:rPr>
        <w:t>耶穌的跟隨者認為希伯來書傳達了有關耶穌的真理，因此適用於所有人。</w:t>
      </w:r>
    </w:p>
    <w:p>
      <w:pPr/>
      <w:r>
        <w:rPr>
          <w:lang w:val="zh_TW" w:bidi="zh_TW"/>
        </w:rPr>
      </w:r>
      <w:r>
        <w:rPr>
          <w:b/>
          <w:lang w:val="zh_TW" w:bidi="zh_TW"/>
        </w:rPr>
        <w:t>希伯來書為何而寫？</w:t>
      </w:r>
    </w:p>
    <w:p>
      <w:pPr>
        <w:pStyle w:val="ListBullet"/>
        <w:spacing w:line="240" w:lineRule="auto"/>
        <w:ind w:left="720"/>
      </w:pPr>
      <w:r>
        <w:rPr>
          <w:lang w:val="zh_TW" w:bidi="zh_TW"/>
        </w:rPr>
      </w:r>
      <w:r>
        <w:rPr>
          <w:lang w:val="zh_TW" w:bidi="zh_TW"/>
        </w:rPr>
        <w:t>展示神與以色列所立的約的應許如何在耶穌的生命和工作中得以實現。</w:t>
      </w:r>
    </w:p>
    <w:p>
      <w:pPr>
        <w:pStyle w:val="ListBullet"/>
        <w:spacing w:line="240" w:lineRule="auto"/>
        <w:ind w:left="720"/>
      </w:pPr>
      <w:r>
        <w:rPr>
          <w:lang w:val="zh_TW" w:bidi="zh_TW"/>
        </w:rPr>
      </w:r>
      <w:r>
        <w:rPr>
          <w:lang w:val="zh_TW" w:bidi="zh_TW"/>
        </w:rPr>
        <w:t>展示耶穌如何建立了新約。</w:t>
      </w:r>
    </w:p>
    <w:p>
      <w:pPr>
        <w:pStyle w:val="ListBullet"/>
        <w:spacing w:line="240" w:lineRule="auto"/>
        <w:ind w:left="720"/>
      </w:pPr>
      <w:r>
        <w:rPr>
          <w:lang w:val="zh_TW" w:bidi="zh_TW"/>
        </w:rPr>
      </w:r>
      <w:r>
        <w:rPr>
          <w:lang w:val="zh_TW" w:bidi="zh_TW"/>
        </w:rPr>
        <w:t>解釋為什麼信徒不應選擇猶太教的信仰和實踐，而應跟隨耶穌。</w:t>
      </w:r>
    </w:p>
    <w:p>
      <w:pPr>
        <w:pStyle w:val="ListBullet"/>
        <w:spacing w:line="240" w:lineRule="auto"/>
        <w:ind w:left="720"/>
      </w:pPr>
      <w:r>
        <w:rPr>
          <w:lang w:val="zh_TW" w:bidi="zh_TW"/>
        </w:rPr>
      </w:r>
      <w:r>
        <w:rPr>
          <w:lang w:val="zh_TW" w:bidi="zh_TW"/>
        </w:rPr>
        <w:t>鼓勵那些因為跟隨耶穌而受到逼迫的信徒。</w:t>
      </w:r>
    </w:p>
    <w:p>
      <w:pPr/>
      <w:r>
        <w:rPr>
          <w:lang w:val="zh_TW" w:bidi="zh_TW"/>
        </w:rPr>
      </w:r>
      <w:r>
        <w:rPr>
          <w:b/>
          <w:lang w:val="zh_TW" w:bidi="zh_TW"/>
        </w:rPr>
        <w:t>主要思想</w:t>
      </w:r>
    </w:p>
    <w:p>
      <w:pPr>
        <w:pStyle w:val="ListBullet"/>
        <w:spacing w:line="240" w:lineRule="auto"/>
        <w:ind w:left="720"/>
      </w:pPr>
      <w:r>
        <w:rPr>
          <w:lang w:val="zh_TW" w:bidi="zh_TW"/>
        </w:rPr>
      </w:r>
      <w:r>
        <w:rPr>
          <w:lang w:val="zh_TW" w:bidi="zh_TW"/>
        </w:rPr>
        <w:t>耶穌是誰以及祂成就了什麼。</w:t>
      </w:r>
    </w:p>
    <w:p>
      <w:pPr>
        <w:pStyle w:val="ListBullet"/>
        <w:spacing w:line="240" w:lineRule="auto"/>
        <w:ind w:left="720"/>
      </w:pPr>
      <w:r>
        <w:rPr>
          <w:lang w:val="zh_TW" w:bidi="zh_TW"/>
        </w:rPr>
      </w:r>
      <w:r>
        <w:rPr>
          <w:lang w:val="zh_TW" w:bidi="zh_TW"/>
        </w:rPr>
        <w:t>舊約的預言和應許在新約中應驗。</w:t>
      </w:r>
    </w:p>
    <w:p>
      <w:pPr>
        <w:pStyle w:val="ListBullet"/>
        <w:spacing w:line="240" w:lineRule="auto"/>
        <w:ind w:left="720"/>
      </w:pPr>
      <w:r>
        <w:rPr>
          <w:lang w:val="zh_TW" w:bidi="zh_TW"/>
        </w:rPr>
      </w:r>
      <w:r>
        <w:rPr>
          <w:lang w:val="zh_TW" w:bidi="zh_TW"/>
        </w:rPr>
        <w:t>耶穌比天使、摩西、亞倫和亞倫以後的祭司更偉大。耶穌比古時的先知更偉大。</w:t>
      </w:r>
    </w:p>
    <w:p>
      <w:pPr>
        <w:pStyle w:val="ListBullet"/>
        <w:spacing w:line="240" w:lineRule="auto"/>
        <w:ind w:left="720"/>
      </w:pPr>
      <w:r>
        <w:rPr>
          <w:lang w:val="zh_TW" w:bidi="zh_TW"/>
        </w:rPr>
      </w:r>
      <w:r>
        <w:rPr>
          <w:lang w:val="zh_TW" w:bidi="zh_TW"/>
        </w:rPr>
        <w:t>耶穌作為大祭司。</w:t>
      </w:r>
    </w:p>
    <w:p>
      <w:pPr>
        <w:pStyle w:val="ListBullet"/>
        <w:spacing w:line="240" w:lineRule="auto"/>
        <w:ind w:left="720"/>
      </w:pPr>
      <w:r>
        <w:rPr>
          <w:lang w:val="zh_TW" w:bidi="zh_TW"/>
        </w:rPr>
      </w:r>
      <w:r>
        <w:rPr>
          <w:lang w:val="zh_TW" w:bidi="zh_TW"/>
        </w:rPr>
        <w:t>享受神的安息。</w:t>
      </w:r>
    </w:p>
    <w:p>
      <w:pPr>
        <w:pStyle w:val="ListBullet"/>
        <w:spacing w:line="240" w:lineRule="auto"/>
        <w:ind w:left="720"/>
      </w:pPr>
      <w:r>
        <w:rPr>
          <w:lang w:val="zh_TW" w:bidi="zh_TW"/>
        </w:rPr>
      </w:r>
      <w:r>
        <w:rPr>
          <w:lang w:val="zh_TW" w:bidi="zh_TW"/>
        </w:rPr>
        <w:t>信心的榜樣。</w:t>
      </w:r>
    </w:p>
    <w:p>
      <w:pPr/>
      <w:r>
        <w:rPr>
          <w:lang w:val="zh_TW" w:bidi="zh_TW"/>
        </w:rPr>
      </w:r>
      <w:r>
        <w:rPr>
          <w:b/>
          <w:lang w:val="zh_TW" w:bidi="zh_TW"/>
        </w:rPr>
        <w:t>大綱</w:t>
      </w:r>
    </w:p>
    <w:p>
      <w:pPr/>
      <w:r>
        <w:rPr>
          <w:lang w:val="zh_TW" w:bidi="zh_TW"/>
        </w:rPr>
      </w:r>
      <w:r>
        <w:rPr>
          <w:b/>
          <w:lang w:val="zh_TW" w:bidi="zh_TW"/>
        </w:rPr>
        <w:t>神透過祂的兒子完全啟示自己（1:1–4）。</w:t>
      </w:r>
    </w:p>
    <w:p>
      <w:pPr/>
      <w:r>
        <w:rPr>
          <w:lang w:val="zh_TW" w:bidi="zh_TW"/>
        </w:rPr>
      </w:r>
      <w:r>
        <w:rPr>
          <w:b/>
          <w:lang w:val="zh_TW" w:bidi="zh_TW"/>
        </w:rPr>
        <w:t>聖子比天使更大（1:5－2:18）。</w:t>
      </w:r>
    </w:p>
    <w:p>
      <w:pPr/>
      <w:r>
        <w:rPr>
          <w:lang w:val="zh_TW" w:bidi="zh_TW"/>
        </w:rPr>
      </w:r>
      <w:r>
        <w:rPr>
          <w:b/>
          <w:lang w:val="zh_TW" w:bidi="zh_TW"/>
        </w:rPr>
        <w:t>聖子是盡忠且滿有憐憫的大祭司（3:1－5:10）。</w:t>
      </w:r>
    </w:p>
    <w:p>
      <w:pPr/>
      <w:r>
        <w:rPr>
          <w:lang w:val="zh_TW" w:bidi="zh_TW"/>
        </w:rPr>
      </w:r>
      <w:r>
        <w:rPr>
          <w:b/>
          <w:lang w:val="zh_TW" w:bidi="zh_TW"/>
        </w:rPr>
        <w:t>聖子如同麥基洗德般的祭司（5:11－10:39）。</w:t>
      </w:r>
    </w:p>
    <w:p>
      <w:pPr/>
      <w:r>
        <w:rPr>
          <w:lang w:val="zh_TW" w:bidi="zh_TW"/>
        </w:rPr>
      </w:r>
      <w:r>
        <w:rPr>
          <w:b/>
          <w:lang w:val="zh_TW" w:bidi="zh_TW"/>
        </w:rPr>
        <w:t>信徒需要信心，並且不要放棄（11:1－12:13）。</w:t>
      </w:r>
    </w:p>
    <w:p>
      <w:pPr/>
      <w:r>
        <w:rPr>
          <w:lang w:val="zh_TW" w:bidi="zh_TW"/>
        </w:rPr>
      </w:r>
      <w:r>
        <w:rPr>
          <w:b/>
          <w:lang w:val="zh_TW" w:bidi="zh_TW"/>
        </w:rPr>
        <w:t>有關共同生活的指導（12:14－13:21）。</w:t>
      </w:r>
    </w:p>
    <w:p>
      <w:pPr/>
      <w:r>
        <w:rPr>
          <w:lang w:val="zh_TW" w:bidi="zh_TW"/>
        </w:rPr>
      </w:r>
      <w:r>
        <w:rPr>
          <w:b/>
          <w:lang w:val="zh_TW" w:bidi="zh_TW"/>
        </w:rPr>
        <w:t>最後的問候（13:22–25）。</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