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Иоиля</w:t>
      </w:r>
      <w:r/>
    </w:p>
    <w:p>
      <w:r/>
      <w:r>
        <w:rPr>
          <w:b/>
        </w:rPr>
        <w:t>Что из себя представляет Книга пророка Иоиля?</w:t>
      </w:r>
    </w:p>
    <w:p>
      <w:pPr>
        <w:pStyle w:val="ListBullet"/>
        <w:spacing w:line="240" w:lineRule="auto"/>
        <w:ind w:left="720"/>
      </w:pPr>
      <w:r/>
      <w:r>
        <w:t>Книга пророка Иоиля относится к книгам израильских пророков. В неё входят пророчества от Бога, сказанные пророком Иоилем.</w:t>
      </w:r>
    </w:p>
    <w:p>
      <w:pPr>
        <w:pStyle w:val="ListBullet"/>
        <w:spacing w:line="240" w:lineRule="auto"/>
        <w:ind w:left="720"/>
      </w:pPr>
      <w:r/>
      <w:r>
        <w:t>Большинство пророчеств относится к народу и священникам Южного Царства.</w:t>
      </w:r>
    </w:p>
    <w:p>
      <w:pPr>
        <w:pStyle w:val="ListBullet"/>
        <w:spacing w:line="240" w:lineRule="auto"/>
        <w:ind w:left="720"/>
      </w:pPr>
      <w:r/>
      <w:r>
        <w:t>Неизвестно, из какого города был сам Иоиль и когда он произнёс эти пророчества.</w:t>
      </w:r>
    </w:p>
    <w:p>
      <w:pPr>
        <w:pStyle w:val="ListBullet"/>
        <w:spacing w:line="240" w:lineRule="auto"/>
        <w:ind w:left="720"/>
      </w:pPr>
      <w:r/>
      <w:r>
        <w:t>В пророчествах говорится о нашествии саранчи на землю Иудеи. В них говорится о времени суда и времени благословения.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/>
      <w: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/>
      <w:r>
        <w:t>Считается, что эти пророчества записал сам пророк Иоиль.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Иоиля исполнились в день Пятидесятницы. Именно в Пятидесятницу Иисус дал Святого Духа Своим последователям.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Южного Царства (Иудеи).</w:t>
      </w:r>
    </w:p>
    <w:p>
      <w:r/>
      <w:r>
        <w:rPr>
          <w:b/>
        </w:rPr>
        <w:t>Для чего была написана Книга пророка Иоиля?</w:t>
      </w:r>
    </w:p>
    <w:p>
      <w:pPr>
        <w:pStyle w:val="ListBullet"/>
        <w:spacing w:line="240" w:lineRule="auto"/>
        <w:ind w:left="720"/>
      </w:pPr>
      <w:r/>
      <w:r>
        <w:t>Чтобы оплакивать нашествие саранчи, которая уничтожила все посевы.</w:t>
      </w:r>
    </w:p>
    <w:p>
      <w:pPr>
        <w:pStyle w:val="ListBullet"/>
        <w:spacing w:line="240" w:lineRule="auto"/>
        <w:ind w:left="720"/>
      </w:pPr>
      <w:r/>
      <w:r>
        <w:t>Чтобы призвать Божий народ вернуться к Богу и покаяться в своих грехах.</w:t>
      </w:r>
    </w:p>
    <w:p>
      <w:pPr>
        <w:pStyle w:val="ListBullet"/>
        <w:spacing w:line="240" w:lineRule="auto"/>
        <w:ind w:left="720"/>
      </w:pPr>
      <w:r/>
      <w:r>
        <w:t>Чтобы показать желание Бога благословить всех людей, которые Ему служат.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совершает суд над Своим народом и над всеми народами за их грехи.</w:t>
      </w:r>
    </w:p>
    <w:p>
      <w:pPr>
        <w:pStyle w:val="ListBullet"/>
        <w:spacing w:line="240" w:lineRule="auto"/>
        <w:ind w:left="720"/>
      </w:pPr>
      <w:r/>
      <w:r>
        <w:t>Бог желает, чтобы все люди отвернулись от греха. Он стремится к тому, чтобы они были полностью преданы Ему.</w:t>
      </w:r>
    </w:p>
    <w:p>
      <w:pPr>
        <w:pStyle w:val="ListBullet"/>
        <w:spacing w:line="240" w:lineRule="auto"/>
        <w:ind w:left="720"/>
      </w:pPr>
      <w:r/>
      <w:r>
        <w:t>День Господень — это время суда для одних. Для других это время благословения.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Нашествие саранчи</w:t>
      </w:r>
      <w:r>
        <w:t xml:space="preserve"> </w:t>
      </w:r>
      <w:r>
        <w:rPr>
          <w:b/>
        </w:rPr>
        <w:t>как день Господень</w:t>
      </w:r>
      <w:r>
        <w:t xml:space="preserve"> </w:t>
      </w:r>
      <w:r>
        <w:rPr>
          <w:b/>
        </w:rPr>
        <w:t>(1).</w:t>
      </w:r>
    </w:p>
    <w:p>
      <w:r/>
      <w:r>
        <w:rPr>
          <w:b/>
        </w:rPr>
        <w:t>Нашествие армий как день Господень (2:1–27).</w:t>
      </w:r>
    </w:p>
    <w:p>
      <w:r/>
      <w:r>
        <w:rPr>
          <w:b/>
        </w:rPr>
        <w:t>Суд Божий над народами как день Господень (2:28 – 3:21).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