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Деяния святых апостолов</w:t>
      </w:r>
      <w:r/>
    </w:p>
    <w:p>
      <w:r/>
      <w:r>
        <w:rPr>
          <w:b/>
        </w:rPr>
        <w:t>Что из себя представляет</w:t>
      </w:r>
      <w:r>
        <w:t xml:space="preserve"> </w:t>
      </w:r>
      <w:r>
        <w:rPr>
          <w:b/>
        </w:rPr>
        <w:t>книга</w:t>
      </w:r>
      <w:r>
        <w:t xml:space="preserve"> </w:t>
      </w:r>
      <w:r>
        <w:rPr>
          <w:b/>
        </w:rPr>
        <w:t>Деяния святых апостолов?</w:t>
      </w:r>
    </w:p>
    <w:p>
      <w:pPr>
        <w:pStyle w:val="ListBullet"/>
        <w:spacing w:line="240" w:lineRule="auto"/>
        <w:ind w:left="720"/>
      </w:pPr>
      <w:r/>
      <w:r>
        <w:t>Книга Деяния святых апостолов — это повествование о первых последователях Иисуса. Все события произошли после того, как Иисус воскрес из мёртвых. В этой книге также содержится учение об Иисусе. Учение и рассказы об Иисусе пересказывались последователями Иисуса. Многие из них жили и трудились вместе с Иисусом.</w:t>
      </w:r>
    </w:p>
    <w:p>
      <w:pPr>
        <w:pStyle w:val="ListBullet"/>
        <w:spacing w:line="240" w:lineRule="auto"/>
        <w:ind w:left="720"/>
      </w:pPr>
      <w:r/>
      <w:r>
        <w:t>Лука записал эти рассказы и учение. После этого он записал другие рассказы и учение в Евангелие от Луки. Это две части одной книги. Считается, что он записал их между 60 и 70 гг. н.э.</w:t>
      </w:r>
    </w:p>
    <w:p>
      <w:r/>
      <w:r>
        <w:rPr>
          <w:b/>
        </w:rPr>
        <w:t>Для кого была написана книга Деяния святых апостолов?</w:t>
      </w:r>
    </w:p>
    <w:p>
      <w:pPr>
        <w:pStyle w:val="ListBullet"/>
        <w:spacing w:line="240" w:lineRule="auto"/>
        <w:ind w:left="720"/>
      </w:pPr>
      <w:r/>
      <w:r>
        <w:t>Для верующих язычников, которые проживали в различных римских провинциях.</w:t>
      </w:r>
    </w:p>
    <w:p>
      <w:pPr>
        <w:pStyle w:val="ListBullet"/>
        <w:spacing w:line="240" w:lineRule="auto"/>
        <w:ind w:left="720"/>
      </w:pPr>
      <w:r/>
      <w:r>
        <w:t>Для человека по имени Феофил.</w:t>
      </w:r>
    </w:p>
    <w:p>
      <w:pPr>
        <w:pStyle w:val="ListBullet"/>
        <w:spacing w:line="240" w:lineRule="auto"/>
        <w:ind w:left="720"/>
      </w:pPr>
      <w:r/>
      <w:r>
        <w:t>Церковь признала, что книга Деяния святых апостолов верно передаёт истину об Иисусе. Эта книга предназначена для всех людей по всему миру.</w:t>
      </w:r>
    </w:p>
    <w:p>
      <w:r/>
      <w:r>
        <w:rPr>
          <w:b/>
        </w:rPr>
        <w:t>Для чего была написана книга Деяния святых апостолов?</w:t>
      </w:r>
    </w:p>
    <w:p>
      <w:pPr>
        <w:pStyle w:val="ListBullet"/>
        <w:spacing w:line="240" w:lineRule="auto"/>
        <w:ind w:left="720"/>
      </w:pPr>
      <w:r/>
      <w:r>
        <w:t>Чтобы записать и поделиться рассказами о первых верующих и первых церквях.</w:t>
      </w:r>
    </w:p>
    <w:p>
      <w:pPr>
        <w:pStyle w:val="ListBullet"/>
        <w:spacing w:line="240" w:lineRule="auto"/>
        <w:ind w:left="720"/>
      </w:pPr>
      <w:r/>
      <w:r>
        <w:t>Чтобы показать, как рассказы и учение об Иисусе распространились за пределы Израиля.</w:t>
      </w:r>
    </w:p>
    <w:p>
      <w:pPr>
        <w:pStyle w:val="ListBullet"/>
        <w:spacing w:line="240" w:lineRule="auto"/>
        <w:ind w:left="720"/>
      </w:pPr>
      <w:r/>
      <w:r>
        <w:t>Чтобы показать, что в Божьем Царстве рады христианам из язычников.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Сошествие Святого Духа на последователей Иисуса.</w:t>
      </w:r>
    </w:p>
    <w:p>
      <w:pPr>
        <w:pStyle w:val="ListBullet"/>
        <w:spacing w:line="240" w:lineRule="auto"/>
        <w:ind w:left="720"/>
      </w:pPr>
      <w:r/>
      <w:r>
        <w:t>Община последователей Иисуса, живущая по Пути Иисуса.</w:t>
      </w:r>
    </w:p>
    <w:p>
      <w:pPr>
        <w:pStyle w:val="ListBullet"/>
        <w:spacing w:line="240" w:lineRule="auto"/>
        <w:ind w:left="720"/>
      </w:pPr>
      <w:r/>
      <w:r>
        <w:t>Последователи Иисуса делятся Благой Вестью о Нём повсюду и со всеми.</w:t>
      </w:r>
    </w:p>
    <w:p>
      <w:pPr>
        <w:pStyle w:val="ListBullet"/>
        <w:spacing w:line="240" w:lineRule="auto"/>
        <w:ind w:left="720"/>
      </w:pPr>
      <w:r/>
      <w:r>
        <w:t>Сила молитвы.</w:t>
      </w:r>
    </w:p>
    <w:p>
      <w:pPr>
        <w:pStyle w:val="ListBullet"/>
        <w:spacing w:line="240" w:lineRule="auto"/>
        <w:ind w:left="720"/>
      </w:pPr>
      <w:r/>
      <w:r>
        <w:t>Четыре путешествия Павла, в которых он делился Благой Вестью об Иисусе:</w:t>
      </w:r>
    </w:p>
    <w:p>
      <w:pPr>
        <w:pStyle w:val="ListNumber"/>
        <w:spacing w:line="240" w:lineRule="auto"/>
        <w:ind w:left="720"/>
      </w:pPr>
      <w:r/>
      <w:r>
        <w:t>первое путешествие (</w:t>
      </w:r>
      <w:hyperlink r:id="rId15">
        <w:r>
          <w:rPr>
            <w:color w:val="0000EE"/>
            <w:u w:val="single"/>
          </w:rPr>
          <w:t>Деян.13–14</w:t>
        </w:r>
      </w:hyperlink>
      <w:r>
        <w:t>),</w:t>
      </w:r>
    </w:p>
    <w:p>
      <w:pPr>
        <w:pStyle w:val="ListNumber"/>
        <w:spacing w:line="240" w:lineRule="auto"/>
        <w:ind w:left="720"/>
      </w:pPr>
      <w:r/>
      <w:r>
        <w:t>второе путешествие (</w:t>
      </w:r>
      <w:hyperlink r:id="rId16">
        <w:r>
          <w:rPr>
            <w:color w:val="0000EE"/>
            <w:u w:val="single"/>
          </w:rPr>
          <w:t>Деян.15:36–18:22</w:t>
        </w:r>
      </w:hyperlink>
      <w:r>
        <w:t>),</w:t>
      </w:r>
    </w:p>
    <w:p>
      <w:pPr>
        <w:pStyle w:val="ListNumber"/>
        <w:spacing w:line="240" w:lineRule="auto"/>
        <w:ind w:left="720"/>
      </w:pPr>
      <w:r/>
      <w:r>
        <w:t>третье путешествие (</w:t>
      </w:r>
      <w:hyperlink r:id="rId17">
        <w:r>
          <w:rPr>
            <w:color w:val="0000EE"/>
            <w:u w:val="single"/>
          </w:rPr>
          <w:t>Деян.18:23–20:38</w:t>
        </w:r>
      </w:hyperlink>
      <w:r>
        <w:t>),</w:t>
      </w:r>
    </w:p>
    <w:p>
      <w:pPr>
        <w:pStyle w:val="ListNumber"/>
        <w:spacing w:line="240" w:lineRule="auto"/>
        <w:ind w:left="720"/>
      </w:pPr>
      <w:r/>
      <w:r>
        <w:t>четвёртое путешествие (</w:t>
      </w:r>
      <w:hyperlink r:id="rId18">
        <w:r>
          <w:rPr>
            <w:color w:val="0000EE"/>
            <w:u w:val="single"/>
          </w:rPr>
          <w:t>Деян.27–28</w:t>
        </w:r>
      </w:hyperlink>
      <w:r>
        <w:t>).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Святой Дух даёт Церкви силу распространять Благую Весть об Иисусе (1 – 2).</w:t>
      </w:r>
    </w:p>
    <w:p>
      <w:r/>
      <w:r>
        <w:rPr>
          <w:b/>
        </w:rPr>
        <w:t>Апостолы делятся Благой Вестью об Иисусе в Иерусалиме (3 – 7).</w:t>
      </w:r>
    </w:p>
    <w:p>
      <w:r/>
      <w:r>
        <w:rPr>
          <w:b/>
        </w:rPr>
        <w:t>Благая Весть распространяется за пределы Иерусалима (8:1 – 12:24).</w:t>
      </w:r>
    </w:p>
    <w:p>
      <w:r/>
      <w:r>
        <w:rPr>
          <w:b/>
        </w:rPr>
        <w:t>Благая Весть распространяется по римским провинциям (12:25 – 28:31).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3:1-Acts14:28" TargetMode="External"/><Relationship Id="rId16" Type="http://schemas.openxmlformats.org/officeDocument/2006/relationships/hyperlink" Target="https://ref.ly/Acts15:36-Acts18:22" TargetMode="External"/><Relationship Id="rId17" Type="http://schemas.openxmlformats.org/officeDocument/2006/relationships/hyperlink" Target="https://ref.ly/Acts18:23-Acts20:38" TargetMode="External"/><Relationship Id="rId18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