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Филиппийцам</w:t>
      </w:r>
      <w:r/>
    </w:p>
    <w:p>
      <w:r/>
      <w:r>
        <w:rPr>
          <w:b/>
        </w:rPr>
        <w:t>Что из себя представляет Послание к Филиппийцам?</w:t>
      </w:r>
    </w:p>
    <w:p>
      <w:pPr>
        <w:pStyle w:val="ListBullet"/>
        <w:spacing w:line="240" w:lineRule="auto"/>
        <w:ind w:left="720"/>
      </w:pPr>
      <w:r/>
      <w:r>
        <w:t>Послание к Филиппийцам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/>
      <w:r>
        <w:t>Павел находился в тюрьме, когда писал это послание. Считается, что он написал его около 61 г. н.э.</w:t>
      </w:r>
    </w:p>
    <w:p>
      <w:r/>
      <w:r>
        <w:rPr>
          <w:b/>
        </w:rPr>
        <w:t>Кому было написано Послание к Филиппийцам?</w:t>
      </w:r>
    </w:p>
    <w:p>
      <w:pPr>
        <w:pStyle w:val="ListBullet"/>
        <w:spacing w:line="240" w:lineRule="auto"/>
        <w:ind w:left="720"/>
      </w:pPr>
      <w:r/>
      <w:r>
        <w:t>К верующим в городе Филиппы.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Послание читалось вслух во всех церквях в Филиппах.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Филиппийцам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Филиппийцам?</w:t>
      </w:r>
    </w:p>
    <w:p>
      <w:pPr>
        <w:pStyle w:val="ListBullet"/>
        <w:spacing w:line="240" w:lineRule="auto"/>
        <w:ind w:left="720"/>
      </w:pPr>
      <w:r/>
      <w:r>
        <w:t>Чтобы поблагодарить филиппийских верующих за деньги, которые они отправили Павлу через Епафродита.</w:t>
      </w:r>
    </w:p>
    <w:p>
      <w:pPr>
        <w:pStyle w:val="ListBullet"/>
        <w:spacing w:line="240" w:lineRule="auto"/>
        <w:ind w:left="720"/>
      </w:pPr>
      <w:r/>
      <w:r>
        <w:t>Чтобы сообщить филиппийским верующим,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/>
      <w: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/>
      <w:r>
        <w:t>Епафродит заболел, когда посещал и помогал Павлу. Когда он выздоровел, Павел отправил его обратно в Филиппы с этим письмом.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Радость в служении Иисусу.</w:t>
      </w:r>
    </w:p>
    <w:p>
      <w:pPr>
        <w:pStyle w:val="ListBullet"/>
        <w:spacing w:line="240" w:lineRule="auto"/>
        <w:ind w:left="720"/>
      </w:pPr>
      <w:r/>
      <w:r>
        <w:t>Принадлежность Иисусу.</w:t>
      </w:r>
    </w:p>
    <w:p>
      <w:pPr>
        <w:pStyle w:val="ListBullet"/>
        <w:spacing w:line="240" w:lineRule="auto"/>
        <w:ind w:left="720"/>
      </w:pPr>
      <w:r/>
      <w:r>
        <w:t>Следование примеру Иисуса в жизни.</w:t>
      </w:r>
    </w:p>
    <w:p>
      <w:pPr>
        <w:pStyle w:val="ListBullet"/>
        <w:spacing w:line="240" w:lineRule="auto"/>
        <w:ind w:left="720"/>
      </w:pPr>
      <w:r/>
      <w:r>
        <w:t>Отказ от учений, которые не являются истинными.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(1:1–11).</w:t>
      </w:r>
    </w:p>
    <w:p>
      <w:r/>
      <w:r>
        <w:rPr>
          <w:b/>
        </w:rPr>
        <w:t>Павел распространяет Благую Весть, находясь в тюрьме (1:12–30).</w:t>
      </w:r>
    </w:p>
    <w:p>
      <w:r/>
      <w:r>
        <w:rPr>
          <w:b/>
        </w:rPr>
        <w:t>Следование примеру Иисуса (2:1–18).</w:t>
      </w:r>
    </w:p>
    <w:p>
      <w:r/>
      <w:r>
        <w:rPr>
          <w:b/>
        </w:rPr>
        <w:t>Слова о Тимофее и Епафродите (2:19–30).</w:t>
      </w:r>
    </w:p>
    <w:p>
      <w:r/>
      <w:r>
        <w:rPr>
          <w:b/>
        </w:rPr>
        <w:t>Предупреждение о ложных учениях (3).</w:t>
      </w:r>
    </w:p>
    <w:p>
      <w:r/>
      <w:r>
        <w:rPr>
          <w:b/>
        </w:rPr>
        <w:t>Жить, имея Божий мир и радость (4:1–9).</w:t>
      </w:r>
    </w:p>
    <w:p>
      <w:r/>
      <w:r>
        <w:rPr>
          <w:b/>
        </w:rPr>
        <w:t>Павел благодарит филиппийцев за их дары (4:10–20).</w:t>
      </w:r>
    </w:p>
    <w:p>
      <w:r/>
      <w:r>
        <w:rPr>
          <w:b/>
        </w:rPr>
        <w:t>Заключительные приветствия (4:21–23).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