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Второе послание к Тимофею</w:t>
      </w:r>
      <w:r/>
    </w:p>
    <w:p>
      <w:r/>
      <w:r>
        <w:rPr>
          <w:b/>
        </w:rPr>
        <w:t>Что из себя представляет Второе послание к Тимофею?</w:t>
      </w:r>
    </w:p>
    <w:p>
      <w:pPr>
        <w:pStyle w:val="ListBullet"/>
        <w:spacing w:line="240" w:lineRule="auto"/>
        <w:ind w:left="720"/>
      </w:pPr>
      <w:r/>
      <w:r>
        <w:t>Второе послание к Тимофею — это письмо Павла.</w:t>
      </w:r>
    </w:p>
    <w:p>
      <w:pPr>
        <w:pStyle w:val="ListBullet"/>
        <w:spacing w:line="240" w:lineRule="auto"/>
        <w:ind w:left="720"/>
      </w:pPr>
      <w:r/>
      <w:r>
        <w:t>Считается, что Павел написал его между 66 и 67 гг. н.э. Считается, что он написал его незадолго до своей смерти.</w:t>
      </w:r>
    </w:p>
    <w:p>
      <w:pPr>
        <w:pStyle w:val="ListBullet"/>
        <w:spacing w:line="240" w:lineRule="auto"/>
        <w:ind w:left="720"/>
      </w:pPr>
      <w:r/>
      <w:r>
        <w:t>В Новом Завете находятся два послания Павла к Тимофею. Это второе послание.</w:t>
      </w:r>
    </w:p>
    <w:p>
      <w:r/>
      <w:r>
        <w:rPr>
          <w:b/>
        </w:rPr>
        <w:t>Кому было написано Второе послание к Тимофею?</w:t>
      </w:r>
    </w:p>
    <w:p>
      <w:pPr>
        <w:pStyle w:val="ListBullet"/>
        <w:spacing w:line="240" w:lineRule="auto"/>
        <w:ind w:left="720"/>
      </w:pPr>
      <w:r/>
      <w:r>
        <w:t>Тимофею, когда он трудился и служил в церкви в Ефесе.</w:t>
      </w:r>
    </w:p>
    <w:p>
      <w:pPr>
        <w:pStyle w:val="ListBullet"/>
        <w:spacing w:line="240" w:lineRule="auto"/>
        <w:ind w:left="720"/>
      </w:pPr>
      <w:r/>
      <w:r>
        <w:t>Церковь признала, что Второе послание к Тимофею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Второе послание к Тимофею?</w:t>
      </w:r>
    </w:p>
    <w:p>
      <w:pPr>
        <w:pStyle w:val="ListBullet"/>
        <w:spacing w:line="240" w:lineRule="auto"/>
        <w:ind w:left="720"/>
      </w:pPr>
      <w:r/>
      <w:r>
        <w:t>Чтобы поделиться мыслями Павла о его жизни. Павел считал, что скоро будет казнён.</w:t>
      </w:r>
    </w:p>
    <w:p>
      <w:pPr>
        <w:pStyle w:val="ListBullet"/>
        <w:spacing w:line="240" w:lineRule="auto"/>
        <w:ind w:left="720"/>
      </w:pPr>
      <w:r/>
      <w:r>
        <w:t>Чтобы наставить Тимофея.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Божьему Слову можно доверять.</w:t>
      </w:r>
    </w:p>
    <w:p>
      <w:pPr>
        <w:pStyle w:val="ListBullet"/>
        <w:spacing w:line="240" w:lineRule="auto"/>
        <w:ind w:left="720"/>
      </w:pPr>
      <w:r/>
      <w:r>
        <w:t>Тимофей должен оставаться верным Иисусу.</w:t>
      </w:r>
    </w:p>
    <w:p>
      <w:pPr>
        <w:pStyle w:val="ListBullet"/>
        <w:spacing w:line="240" w:lineRule="auto"/>
        <w:ind w:left="720"/>
      </w:pPr>
      <w:r/>
      <w:r>
        <w:t>Тимофей должен завершить дело, которое Бог ему поручил.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Приветствие (1:1–2).</w:t>
      </w:r>
    </w:p>
    <w:p>
      <w:r/>
      <w:r>
        <w:rPr>
          <w:b/>
        </w:rPr>
        <w:t>Павел призывает Тимофея быть верным Иисусу в трудах и служении (1:3 – 2:13).</w:t>
      </w:r>
    </w:p>
    <w:p>
      <w:r/>
      <w:r>
        <w:rPr>
          <w:b/>
        </w:rPr>
        <w:t>Как Тимофею следует поступать (2:14–26).</w:t>
      </w:r>
    </w:p>
    <w:p>
      <w:r/>
      <w:r>
        <w:rPr>
          <w:b/>
        </w:rPr>
        <w:t>Пример Павла в верности и предупреждение о лицемерах (3:1 – 4:5).</w:t>
      </w:r>
    </w:p>
    <w:p>
      <w:r/>
      <w:r>
        <w:rPr>
          <w:b/>
        </w:rPr>
        <w:t>Павел готовится к концу своей жизни (4:6–18).</w:t>
      </w:r>
    </w:p>
    <w:p>
      <w:r/>
      <w:r>
        <w:rPr>
          <w:b/>
        </w:rPr>
        <w:t>Заключительные приветствия (4:19–22).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