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Послание к Филимону</w:t>
      </w:r>
      <w:r/>
    </w:p>
    <w:p>
      <w:r/>
      <w:r>
        <w:rPr>
          <w:b/>
        </w:rPr>
        <w:t>Что из себя представляет Послание к</w:t>
      </w:r>
      <w:r>
        <w:t xml:space="preserve"> </w:t>
      </w:r>
      <w:r>
        <w:rPr>
          <w:b/>
        </w:rPr>
        <w:t>Филимону?</w:t>
      </w:r>
    </w:p>
    <w:p>
      <w:pPr>
        <w:pStyle w:val="ListBullet"/>
        <w:spacing w:line="240" w:lineRule="auto"/>
        <w:ind w:left="720"/>
      </w:pPr>
      <w:r/>
      <w:r>
        <w:t>Послание к Филимону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его около 60 г. н.э.</w:t>
      </w:r>
    </w:p>
    <w:p>
      <w:r/>
      <w:r>
        <w:rPr>
          <w:b/>
        </w:rPr>
        <w:t>Кому было написано Послание к Филимону?</w:t>
      </w:r>
    </w:p>
    <w:p>
      <w:pPr>
        <w:pStyle w:val="ListBullet"/>
        <w:spacing w:line="240" w:lineRule="auto"/>
        <w:ind w:left="720"/>
      </w:pPr>
      <w:r/>
      <w:r>
        <w:t>Филимону, его семье и церкви, которая собиралась в их доме.</w:t>
      </w:r>
    </w:p>
    <w:p>
      <w:pPr>
        <w:pStyle w:val="ListBullet"/>
        <w:spacing w:line="240" w:lineRule="auto"/>
        <w:ind w:left="720"/>
      </w:pPr>
      <w:r/>
      <w:r>
        <w:t>Церковь признала, что Послание к Филимону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Послание к Филимону?</w:t>
      </w:r>
    </w:p>
    <w:p>
      <w:pPr>
        <w:pStyle w:val="ListBullet"/>
        <w:spacing w:line="240" w:lineRule="auto"/>
        <w:ind w:left="720"/>
      </w:pPr>
      <w:r/>
      <w:r>
        <w:t>Чтобы попросить Филимона принять обратно Онисима как брата, а не как раба.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свёл вместе Онисима и Павла.</w:t>
      </w:r>
    </w:p>
    <w:p>
      <w:pPr>
        <w:pStyle w:val="ListBullet"/>
        <w:spacing w:line="240" w:lineRule="auto"/>
        <w:ind w:left="720"/>
      </w:pPr>
      <w:r/>
      <w:r>
        <w:t>Благая Весть изменила жизнь Онисима.</w:t>
      </w:r>
    </w:p>
    <w:p>
      <w:pPr>
        <w:pStyle w:val="ListBullet"/>
        <w:spacing w:line="240" w:lineRule="auto"/>
        <w:ind w:left="720"/>
      </w:pPr>
      <w:r/>
      <w:r>
        <w:t>Благая Весть может изменить отношения между рабовладельцем и рабом.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(1:1–3).</w:t>
      </w:r>
    </w:p>
    <w:p>
      <w:r/>
      <w:r>
        <w:rPr>
          <w:b/>
        </w:rPr>
        <w:t>Молитва и благодарение (1:4–7).</w:t>
      </w:r>
    </w:p>
    <w:p>
      <w:r/>
      <w:r>
        <w:rPr>
          <w:b/>
        </w:rPr>
        <w:t>Павел обращается с просьбой об Онисиме (1:8–22).</w:t>
      </w:r>
    </w:p>
    <w:p>
      <w:r/>
      <w:r>
        <w:rPr>
          <w:b/>
        </w:rPr>
        <w:t>Заключительные приветствия (1:23–25).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