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Евреям</w:t>
      </w:r>
      <w:r/>
    </w:p>
    <w:p>
      <w:r/>
      <w:r>
        <w:rPr>
          <w:b/>
        </w:rPr>
        <w:t>Что из себя представляет Послание к</w:t>
      </w:r>
      <w:r>
        <w:t xml:space="preserve"> </w:t>
      </w:r>
      <w:r>
        <w:rPr>
          <w:b/>
        </w:rPr>
        <w:t>Евреям?</w:t>
      </w:r>
    </w:p>
    <w:p>
      <w:pPr>
        <w:pStyle w:val="ListBullet"/>
        <w:spacing w:line="240" w:lineRule="auto"/>
        <w:ind w:left="720"/>
      </w:pPr>
      <w:r/>
      <w:r>
        <w:t>Послание к Евреям — это письмо. Неизвестно, кто его написал. Считается, что его автором был тот, кто трудился вместе с Павлом.</w:t>
      </w:r>
    </w:p>
    <w:p>
      <w:pPr>
        <w:pStyle w:val="ListBullet"/>
        <w:spacing w:line="240" w:lineRule="auto"/>
        <w:ind w:left="720"/>
      </w:pPr>
      <w:r/>
      <w:r>
        <w:t>Считается, что Послание к Евреям было написано около 65 г. н.э. Оно было написано до разрушения Иерусалима и Храма в 70 г. н.э.</w:t>
      </w:r>
    </w:p>
    <w:p>
      <w:r/>
      <w:r>
        <w:rPr>
          <w:b/>
        </w:rPr>
        <w:t>Кому было написано Послание к Евреям?</w:t>
      </w:r>
    </w:p>
    <w:p>
      <w:pPr>
        <w:pStyle w:val="ListBullet"/>
        <w:spacing w:line="240" w:lineRule="auto"/>
        <w:ind w:left="720"/>
      </w:pPr>
      <w:r/>
      <w:r>
        <w:t>Точно неизвестно, кому было написано Послание к Евреям. Считается, что оно было адресовано общине верующих иудеев в Риме. Люди, получившие это послание, хорошо знали его автора.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Евреям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Евреям?</w:t>
      </w:r>
    </w:p>
    <w:p>
      <w:pPr>
        <w:pStyle w:val="ListBullet"/>
        <w:spacing w:line="240" w:lineRule="auto"/>
        <w:ind w:left="720"/>
      </w:pPr>
      <w:r/>
      <w:r>
        <w:t>Чтобы показать, как исполнились обетования Божьих заветов с Израилем. Они исполнились в жизни и служении Иисуса.</w:t>
      </w:r>
    </w:p>
    <w:p>
      <w:pPr>
        <w:pStyle w:val="ListBullet"/>
        <w:spacing w:line="240" w:lineRule="auto"/>
        <w:ind w:left="720"/>
      </w:pPr>
      <w:r/>
      <w:r>
        <w:t>Чтобы показать, как Иисус установил новый завет.</w:t>
      </w:r>
    </w:p>
    <w:p>
      <w:pPr>
        <w:pStyle w:val="ListBullet"/>
        <w:spacing w:line="240" w:lineRule="auto"/>
        <w:ind w:left="720"/>
      </w:pPr>
      <w:r/>
      <w:r>
        <w:t>Чтобы показать, почему читатели не должны выбирать иудейские верования и обычаи вместо следования за Иисусом.</w:t>
      </w:r>
    </w:p>
    <w:p>
      <w:pPr>
        <w:pStyle w:val="ListBullet"/>
        <w:spacing w:line="240" w:lineRule="auto"/>
        <w:ind w:left="720"/>
      </w:pPr>
      <w:r/>
      <w:r>
        <w:t>Чтобы поддержать верующих, которые страдали за веру в Иисуса.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Кто такой Иисус и что Он совершил.</w:t>
      </w:r>
    </w:p>
    <w:p>
      <w:pPr>
        <w:pStyle w:val="ListBullet"/>
        <w:spacing w:line="240" w:lineRule="auto"/>
        <w:ind w:left="720"/>
      </w:pPr>
      <w:r/>
      <w:r>
        <w:t>Пророчества и обещания Ветхого Завета, исполненные в новом завете.</w:t>
      </w:r>
    </w:p>
    <w:p>
      <w:pPr>
        <w:pStyle w:val="ListBullet"/>
        <w:spacing w:line="240" w:lineRule="auto"/>
        <w:ind w:left="720"/>
      </w:pPr>
      <w:r/>
      <w:r>
        <w:t>Иисус выше ангелов, Моисея, Аарона и священников живших после Аарона. Иисус выше пророков древности.</w:t>
      </w:r>
    </w:p>
    <w:p>
      <w:pPr>
        <w:pStyle w:val="ListBullet"/>
        <w:spacing w:line="240" w:lineRule="auto"/>
        <w:ind w:left="720"/>
      </w:pPr>
      <w:r/>
      <w:r>
        <w:t>Иисус как первосвященник.</w:t>
      </w:r>
    </w:p>
    <w:p>
      <w:pPr>
        <w:pStyle w:val="ListBullet"/>
        <w:spacing w:line="240" w:lineRule="auto"/>
        <w:ind w:left="720"/>
      </w:pPr>
      <w:r/>
      <w:r>
        <w:t>Наслаждение Божьим покоем.</w:t>
      </w:r>
    </w:p>
    <w:p>
      <w:pPr>
        <w:pStyle w:val="ListBullet"/>
        <w:spacing w:line="240" w:lineRule="auto"/>
        <w:ind w:left="720"/>
      </w:pPr>
      <w:r/>
      <w:r>
        <w:t>Примеры веры.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Бог в полноте открывает Себя через Своего Сына (1:1–4).</w:t>
      </w:r>
    </w:p>
    <w:p>
      <w:r/>
      <w:r>
        <w:rPr>
          <w:b/>
        </w:rPr>
        <w:t>Сын превосходит ангелов (1:5 – 2:18).</w:t>
      </w:r>
    </w:p>
    <w:p>
      <w:r/>
      <w:r>
        <w:rPr>
          <w:b/>
        </w:rPr>
        <w:t>Сын — это первосвященник, верный и полный милосердия (3:1 – 5:10).</w:t>
      </w:r>
    </w:p>
    <w:p>
      <w:r/>
      <w:r>
        <w:rPr>
          <w:b/>
        </w:rPr>
        <w:t>Сын — священник, подобный Мелхиседеку (5:11 – 10:39).</w:t>
      </w:r>
    </w:p>
    <w:p>
      <w:r/>
      <w:r>
        <w:rPr>
          <w:b/>
        </w:rPr>
        <w:t>Необходимость иметь веру и не сдаваться (11:1 – 12:13).</w:t>
      </w:r>
    </w:p>
    <w:p>
      <w:r/>
      <w:r>
        <w:rPr>
          <w:b/>
        </w:rPr>
        <w:t>Наставления о жизни в общине (12:14 – 13:21).</w:t>
      </w:r>
    </w:p>
    <w:p>
      <w:r/>
      <w:r>
        <w:rPr>
          <w:b/>
        </w:rPr>
        <w:t>Заключительные приветствия (13:22–25).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