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</w:t>
      </w:r>
      <w:r/>
    </w:p>
    <w:p>
      <w:r/>
      <w:r>
        <w:rPr>
          <w:b/>
        </w:rPr>
        <w:t>¿Qué es la segunda carta de Pedro?</w:t>
      </w:r>
    </w:p>
    <w:p>
      <w:pPr>
        <w:pStyle w:val="ListBullet"/>
        <w:spacing w:line="240" w:lineRule="auto"/>
        <w:ind w:left="720"/>
      </w:pPr>
      <w:r/>
      <w:r>
        <w:t>La epístola de Pedro es una carta de Pedro.</w:t>
      </w:r>
    </w:p>
    <w:p>
      <w:pPr>
        <w:pStyle w:val="ListBullet"/>
        <w:spacing w:line="240" w:lineRule="auto"/>
        <w:ind w:left="720"/>
      </w:pPr>
      <w:r/>
      <w:r>
        <w:t>Se cree que Pedro escribió esta carta desde Roma. Se piensa que la escribió alrededor del año 67 d.C.</w:t>
      </w:r>
    </w:p>
    <w:p>
      <w:pPr>
        <w:pStyle w:val="ListBullet"/>
        <w:spacing w:line="240" w:lineRule="auto"/>
        <w:ind w:left="720"/>
      </w:pPr>
      <w:r/>
      <w:r>
        <w:t>El Nuevo Testamento incluye dos cartas de Pedro. Esta es la segunda carta.</w:t>
      </w:r>
    </w:p>
    <w:p>
      <w:r/>
      <w:r>
        <w:rPr>
          <w:b/>
        </w:rPr>
        <w:t>¿A quién fue dirigida la segunda de Pedro?</w:t>
      </w:r>
    </w:p>
    <w:p>
      <w:pPr>
        <w:pStyle w:val="ListBullet"/>
        <w:spacing w:line="240" w:lineRule="auto"/>
        <w:ind w:left="720"/>
      </w:pPr>
      <w:r/>
      <w:r>
        <w:t>No se sabe exactamente a quién fue dirigido la segunda de Pedro. Fue a los creyentes.</w:t>
      </w:r>
    </w:p>
    <w:p>
      <w:pPr>
        <w:pStyle w:val="ListBullet"/>
        <w:spacing w:line="240" w:lineRule="auto"/>
        <w:ind w:left="720"/>
      </w:pPr>
      <w:r/>
      <w:r>
        <w:t>Estos pueden haber sido los mismos creyentes a los que Pedro escribió en el primer libro de Pedro. Estaban en los territorios romanos que ahora se conocen como Turquía.</w:t>
      </w:r>
    </w:p>
    <w:p>
      <w:pPr>
        <w:pStyle w:val="ListBullet"/>
        <w:spacing w:line="240" w:lineRule="auto"/>
        <w:ind w:left="720"/>
      </w:pPr>
      <w:r/>
      <w:r>
        <w:t>Los seguidores de Jesús reconocen que la segunda de Pedro comparte la verdad sobre Jesús. Es para todas las personas en todas partes.</w:t>
      </w:r>
    </w:p>
    <w:p>
      <w:r/>
      <w:r>
        <w:rPr>
          <w:b/>
        </w:rPr>
        <w:t>¿Por qué se escribió la segunda de Pedro?</w:t>
      </w:r>
    </w:p>
    <w:p>
      <w:pPr>
        <w:pStyle w:val="ListBullet"/>
        <w:spacing w:line="240" w:lineRule="auto"/>
        <w:ind w:left="720"/>
      </w:pPr>
      <w:r/>
      <w:r>
        <w:t>Para oponerse a las personas que estaban enseñando cosas falsas sobre Jesús.</w:t>
      </w:r>
    </w:p>
    <w:p>
      <w:pPr>
        <w:pStyle w:val="ListBullet"/>
        <w:spacing w:line="240" w:lineRule="auto"/>
        <w:ind w:left="720"/>
      </w:pPr>
      <w:r/>
      <w:r>
        <w:t>Para animar a los creyentes a vivir de maneras que agraden a Dios.</w:t>
      </w:r>
    </w:p>
    <w:p>
      <w:pPr>
        <w:pStyle w:val="ListBullet"/>
        <w:spacing w:line="240" w:lineRule="auto"/>
        <w:ind w:left="720"/>
      </w:pPr>
      <w:r/>
      <w:r>
        <w:t>Ayudar a los creyentes a estar listos para el regreso de Jesús.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gracia de Dios permite a los creyentes vivir vidas santas incluso cuando enfrentan oposición.</w:t>
      </w:r>
    </w:p>
    <w:p>
      <w:pPr>
        <w:pStyle w:val="ListBullet"/>
        <w:spacing w:line="240" w:lineRule="auto"/>
        <w:ind w:left="720"/>
      </w:pPr>
      <w:r/>
      <w:r>
        <w:t>Los creyentes deben seguir creciendo en la fe y no deben creer en enseñanzas falsas.</w:t>
      </w:r>
    </w:p>
    <w:p>
      <w:pPr>
        <w:pStyle w:val="ListBullet"/>
        <w:spacing w:line="240" w:lineRule="auto"/>
        <w:ind w:left="720"/>
      </w:pPr>
      <w:r/>
      <w:r>
        <w:t>Jesús regresará.</w:t>
      </w:r>
    </w:p>
    <w:p>
      <w:pPr>
        <w:pStyle w:val="ListBullet"/>
        <w:spacing w:line="240" w:lineRule="auto"/>
        <w:ind w:left="720"/>
      </w:pPr>
      <w:r/>
      <w:r>
        <w:t>Dios es paciente porque quiere que las personas se aparten del pecado.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(1:1–2).</w:t>
      </w:r>
    </w:p>
    <w:p>
      <w:r/>
      <w:r>
        <w:rPr>
          <w:b/>
        </w:rPr>
        <w:t>La necesidad de vivir una vida santa (1:3–11).</w:t>
      </w:r>
    </w:p>
    <w:p>
      <w:r/>
      <w:r>
        <w:rPr>
          <w:b/>
        </w:rPr>
        <w:t>Recordando en qué se basa la fe (1:12–21).</w:t>
      </w:r>
    </w:p>
    <w:p>
      <w:r/>
      <w:r>
        <w:rPr>
          <w:b/>
        </w:rPr>
        <w:t>Rechazar creer en falsos maestros (2).</w:t>
      </w:r>
    </w:p>
    <w:p>
      <w:r/>
      <w:r>
        <w:rPr>
          <w:b/>
        </w:rPr>
        <w:t>Los últimos días y el día del Señor (3:1–16).</w:t>
      </w:r>
    </w:p>
    <w:p>
      <w:r/>
      <w:r>
        <w:rPr>
          <w:b/>
        </w:rPr>
        <w:t>Saludos finales (3:17–18).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