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Yuda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Yuda ni nini?</w:t>
      </w:r>
    </w:p>
    <w:p>
      <w:pPr>
        <w:pStyle w:val="ListBullet"/>
        <w:spacing w:line="240" w:lineRule="auto"/>
        <w:ind w:left="720"/>
      </w:pPr>
      <w:r/>
      <w:r>
        <w:t>Kitabu cha Yuda ni barua kutoka kwa ndugu yake Yesu, Yuda.</w:t>
      </w:r>
    </w:p>
    <w:p>
      <w:pPr>
        <w:pStyle w:val="ListBullet"/>
        <w:spacing w:line="240" w:lineRule="auto"/>
        <w:ind w:left="720"/>
      </w:pPr>
      <w:r/>
      <w:r>
        <w:t>Inadhaniwa kwamba Yuda alichaandika karibu mwaka wa 65 Baada ya Kristo (BK).</w:t>
      </w:r>
    </w:p>
    <w:p>
      <w:r/>
      <w:r>
        <w:rPr>
          <w:b/>
        </w:rPr>
        <w:t>Kitabu cha Yuda kiliandikiwa nani?</w:t>
      </w:r>
    </w:p>
    <w:p>
      <w:pPr>
        <w:pStyle w:val="ListBullet"/>
        <w:spacing w:line="240" w:lineRule="auto"/>
        <w:ind w:left="720"/>
      </w:pPr>
      <w:r/>
      <w:r>
        <w:t>Haijulikani hasa kitabu cha Yuda kiliandikiwa nani. Inadhaniwa kuwa ilikuwa kwa waumini wa Kiyahudi.</w:t>
      </w:r>
    </w:p>
    <w:p>
      <w:pPr>
        <w:pStyle w:val="ListBullet"/>
        <w:spacing w:line="240" w:lineRule="auto"/>
        <w:ind w:left="720"/>
      </w:pPr>
      <w:r/>
      <w:r>
        <w:t>Barua za 2 Petro na Yuda zinafanana kwa njia nyingi. Yuda huenda alikuwa akiandika kwa waumini wale wale waliotajwa katika 2 Petro. Walikuwa katika eneo la Kirumi ambalo sasa linajulikana kama Uturuki.</w:t>
      </w:r>
    </w:p>
    <w:p>
      <w:pPr>
        <w:pStyle w:val="ListBullet"/>
        <w:spacing w:line="240" w:lineRule="auto"/>
        <w:ind w:left="720"/>
      </w:pPr>
      <w:r/>
      <w:r>
        <w:t>Wafuasi wa Yesu wanatambua kwamba Yuda anashiriki ukweli kuhusu Yesu. Ni kwa ajili ya watu wote kila mahali.</w:t>
      </w:r>
    </w:p>
    <w:p>
      <w:r/>
      <w:r>
        <w:rPr>
          <w:b/>
        </w:rPr>
        <w:t>Kwa nini kitabu cha Yuda kiliandikwa?</w:t>
      </w:r>
    </w:p>
    <w:p>
      <w:pPr>
        <w:pStyle w:val="ListBullet"/>
        <w:spacing w:line="240" w:lineRule="auto"/>
        <w:ind w:left="720"/>
      </w:pPr>
      <w:r/>
      <w:r>
        <w:t>Kutahadharisha waumini kuhusu walimu wa uongo.</w:t>
      </w:r>
    </w:p>
    <w:p>
      <w:pPr>
        <w:pStyle w:val="ListBullet"/>
        <w:spacing w:line="240" w:lineRule="auto"/>
        <w:ind w:left="720"/>
      </w:pPr>
      <w:r/>
      <w:r>
        <w:t>Kuhimiza waumini kukua na kuwa na nguvu katika imani.</w:t>
      </w:r>
    </w:p>
    <w:p>
      <w:pPr>
        <w:pStyle w:val="ListBullet"/>
        <w:spacing w:line="240" w:lineRule="auto"/>
        <w:ind w:left="720"/>
      </w:pPr>
      <w:r/>
      <w:r>
        <w:t>Kuwakaribisha walimu wa uongo kugeuka kutoka kwa dhambi zao.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Kushikilia imani ya kweli na kukataa kuamini mafundisho ambayo ni ya uongo.</w:t>
      </w:r>
    </w:p>
    <w:p>
      <w:pPr>
        <w:pStyle w:val="ListBullet"/>
        <w:spacing w:line="240" w:lineRule="auto"/>
        <w:ind w:left="720"/>
      </w:pPr>
      <w:r/>
      <w:r>
        <w:t>Kuwakumbusha waumini kwamba watu wasiomcha Mungu wataangamizwa.</w:t>
      </w:r>
    </w:p>
    <w:p>
      <w:pPr>
        <w:pStyle w:val="ListBullet"/>
        <w:spacing w:line="240" w:lineRule="auto"/>
        <w:ind w:left="720"/>
      </w:pPr>
      <w:r/>
      <w:r>
        <w:t>Kubaki katika upendo wa Mungu.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Kuwatambua walimu wa uongo (1:3–19).</w:t>
      </w:r>
    </w:p>
    <w:p>
      <w:r/>
      <w:r>
        <w:rPr>
          <w:b/>
        </w:rPr>
        <w:t>Kukaa pamoja kwa kubaki katika upendo wa Mungu (1:20–23).</w:t>
      </w:r>
    </w:p>
    <w:p>
      <w:r/>
      <w:r>
        <w:rPr>
          <w:b/>
        </w:rPr>
        <w:t>Sifa kwa Mungu (1:24–25).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