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列王紀下</w:t>
      </w:r>
      <w:r/>
    </w:p>
    <w:p>
      <w:r/>
      <w:r>
        <w:rPr>
          <w:b/>
        </w:rPr>
        <w:t>列王紀下是一卷什麼樣的書？</w:t>
      </w:r>
    </w:p>
    <w:p>
      <w:pPr>
        <w:pStyle w:val="ListBullet"/>
        <w:spacing w:line="240" w:lineRule="auto"/>
        <w:ind w:left="720"/>
      </w:pPr>
      <w:r/>
      <w:r>
        <w:t>列王紀下是以色列歷史的記載。這些事件發生在公元前850年至560年間，關於這些事件的故事流傳了數百年，它們在以色列和猶太家庭中代代相傳。</w:t>
      </w:r>
    </w:p>
    <w:p>
      <w:pPr>
        <w:pStyle w:val="ListBullet"/>
        <w:spacing w:line="240" w:lineRule="auto"/>
        <w:ind w:left="720"/>
      </w:pPr>
      <w:r/>
      <w:r>
        <w:t>一般認為先知耶利米記錄了這些故事的一部分，人們認為這些故事在公元前560年左右寫成。</w:t>
      </w:r>
    </w:p>
    <w:p>
      <w:pPr>
        <w:pStyle w:val="ListBullet"/>
        <w:spacing w:line="240" w:lineRule="auto"/>
        <w:ind w:left="720"/>
      </w:pPr>
      <w:r/>
      <w:r>
        <w:t>列王紀下的其它部分則由其他的以色列人所記錄下來。</w:t>
      </w:r>
    </w:p>
    <w:p>
      <w:pPr>
        <w:pStyle w:val="ListBullet"/>
        <w:spacing w:line="240" w:lineRule="auto"/>
        <w:ind w:left="720"/>
      </w:pPr>
      <w:r/>
      <w:r>
        <w:t>列王紀上和列王紀下最初是一卷書，後來被分成兩卷。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列王紀下為何而寫？</w:t>
      </w:r>
    </w:p>
    <w:p>
      <w:pPr>
        <w:pStyle w:val="ListBullet"/>
        <w:spacing w:line="240" w:lineRule="auto"/>
        <w:ind w:left="720"/>
      </w:pPr>
      <w:r/>
      <w:r>
        <w:t>為了記錄北國的君王和南國的君王的事蹟。</w:t>
      </w:r>
    </w:p>
    <w:p>
      <w:pPr>
        <w:pStyle w:val="ListBullet"/>
        <w:spacing w:line="240" w:lineRule="auto"/>
        <w:ind w:left="720"/>
      </w:pPr>
      <w:r/>
      <w:r>
        <w:t>為了說明為什麼北國和南國被毀滅並被擄到外邦。</w:t>
      </w:r>
    </w:p>
    <w:p>
      <w:pPr>
        <w:pStyle w:val="ListBullet"/>
        <w:spacing w:line="240" w:lineRule="auto"/>
        <w:ind w:left="720"/>
      </w:pPr>
      <w:r/>
      <w:r>
        <w:t>撒母耳記上、撒母耳記下、列王紀上和列王紀下共同構成一個完整的故事，記錄了超過四百年的以色列歷史。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先知挑戰那些不忠於神的統治者。</w:t>
      </w:r>
    </w:p>
    <w:p>
      <w:pPr>
        <w:pStyle w:val="ListBullet"/>
        <w:spacing w:line="240" w:lineRule="auto"/>
        <w:ind w:left="720"/>
      </w:pPr>
      <w:r/>
      <w:r>
        <w:t>大多數北國和南國的君王拒絕單單敬拜和事奉神。</w:t>
      </w:r>
    </w:p>
    <w:p>
      <w:pPr>
        <w:pStyle w:val="ListBullet"/>
        <w:spacing w:line="240" w:lineRule="auto"/>
        <w:ind w:left="720"/>
      </w:pPr>
      <w:r/>
      <w:r>
        <w:t>神因百姓不遵守西奈山之約而審判他們，祂使用亞述和巴比倫作為審判的工具。</w:t>
      </w:r>
    </w:p>
    <w:p>
      <w:r/>
      <w:r>
        <w:rPr>
          <w:b/>
        </w:rPr>
        <w:t>大綱</w:t>
      </w:r>
    </w:p>
    <w:p>
      <w:r/>
      <w:r>
        <w:rPr>
          <w:b/>
        </w:rPr>
        <w:t>北國的君王和南國的君王（1 – 17章）。</w:t>
      </w:r>
    </w:p>
    <w:p>
      <w:r/>
      <w:r>
        <w:rPr>
          <w:b/>
        </w:rPr>
        <w:t>南國（18－25章）。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