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哈該書</w:t>
      </w:r>
      <w:r/>
    </w:p>
    <w:p>
      <w:r/>
      <w:r>
        <w:rPr>
          <w:b/>
        </w:rPr>
        <w:t>哈該書是一卷什麼樣的書？</w:t>
      </w:r>
    </w:p>
    <w:p>
      <w:pPr>
        <w:pStyle w:val="ListBullet"/>
        <w:spacing w:line="240" w:lineRule="auto"/>
        <w:ind w:left="720"/>
      </w:pPr>
      <w:r/>
      <w:r>
        <w:t>哈該書是以色列先知的書卷，包含哈該所傳達的來自神的信息。</w:t>
      </w:r>
    </w:p>
    <w:p>
      <w:pPr>
        <w:pStyle w:val="ListBullet"/>
        <w:spacing w:line="240" w:lineRule="auto"/>
        <w:ind w:left="720"/>
      </w:pPr>
      <w:r/>
      <w:r>
        <w:t>這些信息針對波斯統治下的猶大地，並且是以斯拉記第一章到第六章中所述故事的一部分，同時也包含了之後事件的應許。</w:t>
      </w:r>
    </w:p>
    <w:p>
      <w:pPr>
        <w:pStyle w:val="ListBullet"/>
        <w:spacing w:line="240" w:lineRule="auto"/>
        <w:ind w:left="720"/>
      </w:pPr>
      <w:r/>
      <w:r>
        <w:t>哈該在公元前520年傳講這些信息，當時是波斯王大流士統治的第二年。</w:t>
      </w:r>
    </w:p>
    <w:p>
      <w:pPr>
        <w:pStyle w:val="ListBullet"/>
        <w:spacing w:line="240" w:lineRule="auto"/>
        <w:ind w:left="720"/>
      </w:pPr>
      <w:r/>
      <w:r>
        <w:t>一般認為這些信息是由哈該所寫。</w:t>
      </w:r>
    </w:p>
    <w:p>
      <w:pPr>
        <w:pStyle w:val="ListBullet"/>
        <w:spacing w:line="240" w:lineRule="auto"/>
        <w:ind w:left="720"/>
      </w:pPr>
      <w:r/>
      <w:r>
        <w:t>新約的作者認為，哈該書中的一些預言在耶穌的生平和事工中應驗了。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寫給所羅巴伯、約書亞以及歸回猶大的猶太人，這些人在巴比倫被擄多年後歸回。</w:t>
      </w:r>
    </w:p>
    <w:p>
      <w:r/>
      <w:r>
        <w:rPr>
          <w:b/>
        </w:rPr>
        <w:t>哈該書為何而寫？</w:t>
      </w:r>
    </w:p>
    <w:p>
      <w:pPr>
        <w:pStyle w:val="ListBullet"/>
        <w:spacing w:line="240" w:lineRule="auto"/>
        <w:ind w:left="720"/>
      </w:pPr>
      <w:r/>
      <w: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/>
      <w:r>
        <w:t>為了記錄幫助猶太人完成聖殿重建之神的信息。</w:t>
      </w:r>
    </w:p>
    <w:p>
      <w:pPr>
        <w:pStyle w:val="ListBullet"/>
        <w:spacing w:line="240" w:lineRule="auto"/>
        <w:ind w:left="720"/>
      </w:pPr>
      <w:r/>
      <w:r>
        <w:t>為了鼓勵猶太人，因為神仍忠於祂與大衛所立的約。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神對西奈山之約和大衛之約保持信實，即使在被擄之後也如此。</w:t>
      </w:r>
    </w:p>
    <w:p>
      <w:pPr>
        <w:pStyle w:val="ListBullet"/>
        <w:spacing w:line="240" w:lineRule="auto"/>
        <w:ind w:left="720"/>
      </w:pPr>
      <w:r/>
      <w:r>
        <w:t>忠於西奈山之約會帶來約中的祝福，不忠則會帶來約中的咒詛。</w:t>
      </w:r>
    </w:p>
    <w:p>
      <w:pPr>
        <w:pStyle w:val="ListBullet"/>
        <w:spacing w:line="240" w:lineRule="auto"/>
        <w:ind w:left="720"/>
      </w:pPr>
      <w:r/>
      <w:r>
        <w:t>神期望猶太人重建聖殿，這是祂祝福萬國計劃的一部分。</w:t>
      </w:r>
    </w:p>
    <w:p>
      <w:pPr>
        <w:pStyle w:val="ListBullet"/>
        <w:spacing w:line="240" w:lineRule="auto"/>
        <w:ind w:left="720"/>
      </w:pPr>
      <w:r/>
      <w:r>
        <w:t>神的靈賜人能力，使他們能夠忠心地遵行神的命令。</w:t>
      </w:r>
    </w:p>
    <w:p>
      <w:r/>
      <w:r>
        <w:rPr>
          <w:b/>
        </w:rPr>
        <w:t>大綱</w:t>
      </w:r>
    </w:p>
    <w:p>
      <w:r/>
      <w:r>
        <w:rPr>
          <w:b/>
        </w:rPr>
        <w:t>關於忠於西奈山之約的信息（1:1－2:19）。</w:t>
      </w:r>
    </w:p>
    <w:p>
      <w:r/>
      <w:r>
        <w:rPr>
          <w:b/>
        </w:rPr>
        <w:t>關於神與大衛立約的盼望信息（2:20–23）。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