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jin</w:t>
      </w:r>
      <w:r/>
    </w:p>
    <w:p>
      <w:r/>
      <w:r>
        <w:rPr>
          <w:i/>
        </w:rPr>
        <w:t>金牛犢, 金壇, 禁食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金牛犢</w:t>
      </w:r>
      <w:r/>
    </w:p>
    <w:p>
      <w:r/>
      <w:r>
        <w:t>亞倫用以色列人給他的首飾製作的雕像。亞倫在摩西與神同在西奈山時製作了這雕像。許多以色列人將它當作假神來崇拜。後來，北國的耶羅波安王製作了金牛犢雕像，並引導以色列人崇拜這些假神。（</w:t>
      </w:r>
      <w:r>
        <w:t>假神）</w:t>
      </w:r>
      <w:r/>
      <w:r/>
    </w:p>
    <w:p>
      <w:r/>
    </w:p>
    <w:p>
      <w:pPr>
        <w:pStyle w:val="Heading2"/>
      </w:pPr>
      <w:r>
        <w:t>金壇</w:t>
      </w:r>
      <w:r/>
    </w:p>
    <w:p>
      <w:r/>
      <w:r>
        <w:t>在約翰對神寶座的異象中，有一座金壇。這表明有寶座的區域也是聖殿。這是以色列人和猶太人用於會幕和聖殿的模式（希伯來書8:1–5）。（</w:t>
      </w:r>
      <w:r>
        <w:t>祭壇</w:t>
      </w:r>
      <w:r>
        <w:t>）</w:t>
      </w:r>
      <w:r/>
      <w:r/>
    </w:p>
    <w:p>
      <w:r/>
    </w:p>
    <w:p>
      <w:pPr>
        <w:pStyle w:val="Heading2"/>
      </w:pPr>
      <w:r>
        <w:t>禁食</w:t>
      </w:r>
      <w:r/>
    </w:p>
    <w:p>
      <w:r/>
      <w:r>
        <w:t>不吃食物。以色列人以禁食來幫助他們專注於禱告。他們以禁食來表明他們為自己的罪感到難過。不吃食物將幫助他們專注於他們想要達到的目標。他們也會禁食來哀悼某些悲傷之事的發生。耶穌教導禁食是敬拜和事奉神的一部分。這是一個重要的實踐，可以在人們禱告的時候幫助他們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