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chong</w:t>
      </w:r>
      <w:r/>
    </w:p>
    <w:p>
      <w:r/>
      <w:r>
        <w:rPr>
          <w:i/>
        </w:rPr>
        <w:t>重生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重生</w:t>
      </w:r>
      <w:r/>
    </w:p>
    <w:p>
      <w:r/>
      <w:r>
        <w:t>這種方式描述的是當人們信耶穌為王和救主時所發生的事情。他們不再是罪的奴僕。作罪的奴僕就像是靈性的死亡，儘管肉身還活著。當人們信靠耶穌時，祂將新的生命賜給他們的靈。這種新生命是一種屬靈的出生。這與人肉身的出生不同。肉身的新生命將在日後神使人從死裡復活時到來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