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金牛犢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亞倫用以色列人給他的首飾製作的雕像。亞倫在摩西與神同在西奈山時製作了這雕像。許多以色列人將它當作假神來崇拜。後來，北國的耶羅波安王製作了金牛犢雕像，並引導以色列人崇拜這些假神。（</w:t>
      </w:r>
      <w:r>
        <w:rPr>
          <w:lang w:val="zh_TW" w:bidi="zh_TW"/>
        </w:rPr>
        <w:t>假神）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金壇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在約翰對神寶座的異象中，有一座金壇。這表明有寶座的區域也是聖殿。這是以色列人和猶太人用於會幕和聖殿的模式（希伯來書8:1–5）。（</w:t>
      </w:r>
      <w:r>
        <w:rPr>
          <w:lang w:val="zh_TW" w:bidi="zh_TW"/>
        </w:rPr>
        <w:t>祭壇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禁食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吃食物。以色列人以禁食來幫助他們專注於禱告。他們以禁食來表明他們為自己的罪感到難過。不吃食物將幫助他們專注於他們想要達到的目標。他們也會禁食來哀悼某些悲傷之事的發生。耶穌教導禁食是敬拜和事奉神的一部分。這是一個重要的實踐，可以在人們禱告的時候幫助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