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Familiarization, Internalization, Articulation (Fia) Terms</w:t>
      </w:r>
      <w:r>
        <w:rPr>
          <w:rtl/>
          <w:cs/>
          <w:lang w:val="ar_AE" w:bidi="ar_AE"/>
        </w:rPr>
      </w:r>
    </w:p>
    <w:p>
      <w:pPr>
        <w:bidi/>
      </w:pPr>
      <w:r>
        <w:rPr>
          <w:rtl/>
          <w:cs/>
          <w:lang w:val="ar_AE" w:bidi="ar_AE"/>
        </w:rPr>
      </w:r>
      <w:r>
        <w:rPr>
          <w:b/>
          <w:rtl/>
          <w:cs/>
          <w:lang w:val="ar_AE" w:bidi="ar_AE"/>
        </w:rPr>
        <w:t>Familiarization, Internalization, Articulation (FIA) Key Terms</w:t>
      </w:r>
      <w:r>
        <w:rPr>
          <w:rtl/>
          <w:cs/>
          <w:lang w:val="ar_AE" w:bidi="ar_AE"/>
        </w:rPr>
        <w:t xml:space="preserve"> © 2025 Word Collective Released under CC BY-SA 4.0 license. </w:t>
      </w:r>
      <w:r>
        <w:rPr>
          <w:rtl/>
          <w:cs/>
          <w:lang w:val="ar_AE" w:bidi="ar_AE"/>
        </w:rPr>
        <w:t>Familiarization, Internalization, Articulation (FIA) Key Terms</w:t>
      </w:r>
      <w:r>
        <w:rPr>
          <w:rtl/>
          <w:cs/>
          <w:lang w:val="ar_AE" w:bidi="ar_AE"/>
        </w:rPr>
        <w:t xml:space="preserve"> has been adapted in the following languages Tok Pisin, عربي, Français, हिंदी, Bahasa Indonesia, Português, Русский, Español, Kiswahili, 简体中文 from </w:t>
      </w:r>
      <w:r>
        <w:rPr>
          <w:rtl/>
          <w:cs/>
          <w:lang w:val="ar_AE" w:bidi="ar_AE"/>
        </w:rPr>
        <w:t>Familiarization, Internalization, Articulation (FIA)</w:t>
      </w:r>
      <w:r>
        <w:rPr>
          <w:rtl/>
          <w:cs/>
          <w:lang w:val="ar_AE" w:bidi="ar_AE"/>
        </w:rPr>
        <w:t xml:space="preserve"> © 2025 Word Collective. Released under CC BY-SA 4.0 license by Mission Mutual</w:t>
      </w:r>
      <w:r>
        <w:rPr>
          <w:rtl/>
          <w:cs/>
          <w:lang w:val="ar_AE" w:bidi="ar_AE"/>
        </w:rPr>
      </w:r>
      <w:r>
        <w:rPr>
          <w:rtl/>
          <w:cs/>
          <w:lang w:val="ar_AE" w:bidi="ar_AE"/>
        </w:rPr>
      </w:r>
    </w:p>
    <w:p>
      <w:pPr>
        <w:pStyle w:val="Heading1"/>
        <w:bidi/>
      </w:pPr>
      <w:r>
        <w:rPr>
          <w:rtl/>
          <w:cs/>
          <w:lang w:val="ar_AE" w:bidi="ar_AE"/>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ثوب (رداء)</w:t>
      </w:r>
      <w:r>
        <w:rPr>
          <w:rtl/>
          <w:cs/>
          <w:lang w:val="ar_AE" w:bidi="ar_AE"/>
        </w:rPr>
      </w:r>
    </w:p>
    <w:p>
      <w:pPr>
        <w:bidi/>
      </w:pPr>
      <w:r>
        <w:rPr>
          <w:rtl/>
          <w:cs/>
          <w:lang w:val="ar_AE" w:bidi="ar_AE"/>
        </w:rPr>
      </w:r>
      <w:r>
        <w:rPr>
          <w:rtl/>
          <w:cs/>
          <w:lang w:val="ar_AE" w:bidi="ar_AE"/>
        </w:rPr>
        <w:t>الرداء</w:t>
      </w:r>
      <w:r>
        <w:rPr>
          <w:rtl/>
          <w:cs/>
          <w:lang w:val="ar_AE" w:bidi="ar_AE"/>
        </w:rPr>
        <w:t xml:space="preserve">، الذي يُدعى أيضًا </w:t>
      </w:r>
      <w:r>
        <w:rPr>
          <w:b/>
          <w:rtl/>
          <w:cs/>
          <w:lang w:val="ar_AE" w:bidi="ar_AE"/>
        </w:rPr>
        <w:t>الثوب</w:t>
      </w:r>
      <w:r>
        <w:rPr>
          <w:rtl/>
          <w:cs/>
          <w:lang w:val="ar_AE" w:bidi="ar_AE"/>
        </w:rPr>
        <w:t>، هو قطعة من الثياب. وكان الناس يرتدون الرداء فوق الثياب الأخرى. ويساعد الرداء الناس على أن يبقوا دافئين وجافين ويمكن استخدامه كغطاء في الليل. ويصنع الناس الأردية من جلد الحيوانات أو الصوف، وهو شعر حيوان يُدعى الخراف. وغالبًا ما كان الرداء قطعة بسيطة مربعة من القماش لها فتحات للذراعين.</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