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燔祭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</w:t>
      </w:r>
      <w:r>
        <w:rPr>
          <w:b/>
          <w:lang w:val="zh_CN" w:bidi="zh_CN"/>
        </w:rPr>
        <w:t>燔祭</w:t>
      </w:r>
      <w:r>
        <w:rPr>
          <w:lang w:val="zh_CN" w:bidi="zh_CN"/>
        </w:rPr>
        <w:t>是人们献给神的一种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祭物</w:t>
        </w:r>
      </w:hyperlink>
      <w:r>
        <w:rPr>
          <w:lang w:val="zh_CN" w:bidi="zh_CN"/>
        </w:rPr>
        <w:t>的形式。当一个人把燔祭献给神时，他会杀死一只动物，然后在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祭坛</w:t>
        </w:r>
      </w:hyperlink>
      <w:r>
        <w:rPr>
          <w:lang w:val="zh_CN" w:bidi="zh_CN"/>
        </w:rPr>
        <w:t>上把这只动物完全烧掉，祭坛是一个特别的地方，用来把礼物献给神。当一个人把燔祭献给神时，他们是在对神说："正如我完全地烧掉这头牲畜一样，我也把自己完全地奉献给你。"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14" TargetMode="External"/><Relationship Id="rId14" Type="http://schemas.openxmlformats.org/officeDocument/2006/relationships/hyperlink" Target="#t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