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定罪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如果人們宣佈別人因為做了錯事而有罪，我們就説他們使這個人被</w:t>
      </w:r>
      <w:r>
        <w:rPr>
          <w:b/>
          <w:lang w:val="zh_TW" w:bidi="zh_TW"/>
        </w:rPr>
        <w:t>定罪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例如，在法庭案件中，人們指控另一個人犯罪。 審判官是決定這個人是否真的有罪的人。 如果審判官相信這個人確實有罪，我們就説他使這個人被定罪。 然後，審判官將決定給予這個人什麼樣的懲罰。</w:t>
      </w:r>
    </w:p>
    <w:p>
      <w:pPr/>
      <w:r>
        <w:rPr>
          <w:lang w:val="zh_TW" w:bidi="zh_TW"/>
        </w:rPr>
      </w:r>
      <w:r>
        <w:rPr>
          <w:lang w:val="zh_TW" w:bidi="zh_TW"/>
        </w:rPr>
        <w:t>人們可以定一個人的罪，因為他們希望這個人改變他的道路。 一個感到被定罪的人，意識到他做了錯事，並且想要改變。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