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圣经中的"洁净"和"不洁净"这些词并不是说某物从外面看是干净的还是肮脏的。在圣经中，</w:t>
      </w:r>
      <w:r>
        <w:rPr>
          <w:b/>
          <w:lang w:val="zh_CN" w:bidi="zh_CN"/>
        </w:rPr>
        <w:t>洁净</w:t>
      </w:r>
      <w:r>
        <w:rPr>
          <w:lang w:val="zh_CN" w:bidi="zh_CN"/>
        </w:rPr>
        <w:t>的人意味着这个人适合服事神，也就是这个人可以被接纳参与对神的敬拜。</w:t>
      </w:r>
      <w:r>
        <w:rPr>
          <w:b/>
          <w:lang w:val="zh_CN" w:bidi="zh_CN"/>
        </w:rPr>
        <w:t>不洁净</w:t>
      </w:r>
      <w:r>
        <w:rPr>
          <w:lang w:val="zh_CN" w:bidi="zh_CN"/>
        </w:rPr>
        <w:t>的人不适合事奉神。动物，甚至物体也可以是洁净或不洁净的。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洁净是一个人的正常状态，但如果一个人不遵守洁净的条例，他就可能会变得不洁净。关于物品是洁净或不洁净的条例，有助于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记住他们是神特别的子民。正如洁净的物品要远离不洁净的物品一样，以色列人必须远离不洁净的东西。这些东西可能是不洁净的动物或物品，或不洁净的行为，比如罪。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关于洁净和不洁净的条例也帮助人们记住，神赐生命，没有神就会死。血与疾病都和死亡有关联。这就是为什么生病或流血的人是不洁净的。尸体是所有东西中最不洁净的。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不洁净也是会传染的。如果一个不洁净的人接触了一个洁净的人，那么洁净的人就会变得不洁净。如果一个洁净的人触摸了一个不洁净的物品，例如，一块带血的布，这个洁净的人就会变得不洁净。如果洁净的人触摸了尸体，那么洁净的人也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神的时候，洁净和不洁净之间的区别非常重要。所有不洁净的东西都不可以进入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。神已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膏抹</w:t>
        </w:r>
      </w:hyperlink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看守圣殿。祭司必须非常小心，要保持洁净。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如果有人因为月经，行了房事，或者触摸了尸体而不洁净，他们需要等待一段时间，然后要洗澡。在那之后，他们才重新又成为洁净。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如果有人患有皮肤病，他们是不洁净的，直到祭司证实他们已经痊愈为止。然后，痊愈的人必须向神献上一只动物为祭。在那之后，他就重新被认为是洁净的了。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哪些动物他们可以吃，哪些动物不能吃。例如，他们可以吃山羊、绵羊、牛和某些鸟。这些动物是洁净的。他们不能吃的动物包括猪、野兽和爬行动物。如果一个人吃了不洁净的动物，这个人就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给神时，他们只能献上洁净的动物。那只动物也必须完全健康。否则，它仍然是不洁净的，不适合献祭。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在旧约中，人们可能会因为罪或触摸不洁净的东西而变得不洁净。一个动物可能在本质上是不洁净的。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然而，在新约中，耶稣教导人们，洁净关乎的并不是有没有远离了某些食物，或者有没有按照仪式沐浴。耶稣教导我们，如果我们想到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的念头并做了错事，我们就变得不洁净。这些事情使我们不适合事奉或敬拜神。如果我们不顺服神，我们会变得不洁净。这就是为什么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经常被称为"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不洁净的灵</w:t>
        </w:r>
      </w:hyperlink>
      <w:r>
        <w:rPr>
          <w:lang w:val="zh_CN" w:bidi="zh_CN"/>
        </w:rPr>
        <w:t>"，因为它们敌挡神。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以后，越来越多的人成为跟从祂的人。他们当中也有不是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起初认为非犹太人是不洁净的，因此不能成为神的子民。但神教导教会，关于人或物洁净的旧规定不再重要。神欢迎各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的人，并且一个人吃或不吃什么不再重要。耶稣洁净了人们。现在重要的是要通过远离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来保持洁净。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59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5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114" TargetMode="External"/><Relationship Id="rId19" Type="http://schemas.openxmlformats.org/officeDocument/2006/relationships/hyperlink" Target="#t187" TargetMode="External"/><Relationship Id="rId20" Type="http://schemas.openxmlformats.org/officeDocument/2006/relationships/hyperlink" Target="#t47" TargetMode="External"/><Relationship Id="rId21" Type="http://schemas.openxmlformats.org/officeDocument/2006/relationships/hyperlink" Target="#t229" TargetMode="External"/><Relationship Id="rId22" Type="http://schemas.openxmlformats.org/officeDocument/2006/relationships/hyperlink" Target="#t63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24" TargetMode="External"/><Relationship Id="rId25" Type="http://schemas.openxmlformats.org/officeDocument/2006/relationships/hyperlink" Target="#t94" TargetMode="External"/><Relationship Id="rId26" Type="http://schemas.openxmlformats.org/officeDocument/2006/relationships/hyperlink" Target="#t125" TargetMode="External"/><Relationship Id="rId2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