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b/>
          <w:lang w:val="ar_AE" w:bidi="ar_AE"/>
        </w:rPr>
        <w:t>الفصح</w:t>
      </w:r>
      <w:r>
        <w:rPr>
          <w:lang w:val="ar_AE" w:bidi="ar_AE"/>
        </w:rPr>
        <w:t xml:space="preserve"> هو عيد </w:t>
      </w:r>
      <w:r>
        <w:rPr>
          <w:b/>
          <w:lang w:val="ar_AE" w:bidi="ar_AE"/>
        </w:rPr>
        <w:t>يهودي</w:t>
      </w:r>
      <w:r>
        <w:rPr>
          <w:lang w:val="ar_AE" w:bidi="ar_AE"/>
        </w:rPr>
        <w:t xml:space="preserve"> مهم يُدعى أيضًا عيد، أو احتفال، الفطير.</w:t>
      </w:r>
    </w:p>
    <w:p>
      <w:pPr>
        <w:bidi/>
      </w:pPr>
      <w:r>
        <w:rPr>
          <w:lang w:val="ar_AE" w:bidi="ar_AE"/>
        </w:rPr>
      </w:r>
      <w:r>
        <w:rPr>
          <w:lang w:val="ar_AE" w:bidi="ar_AE"/>
        </w:rPr>
        <w:t xml:space="preserve">وهذا العيد كان يُذكِّر الشعب بفترة مهمة للغاية في تاريخ </w:t>
      </w:r>
      <w:hyperlink r:id="rId13">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فمنذ زمن بعيد جدًا، أصبح </w:t>
      </w:r>
      <w:r>
        <w:rPr>
          <w:b/>
          <w:lang w:val="ar_AE" w:bidi="ar_AE"/>
        </w:rPr>
        <w:t>نسل</w:t>
      </w:r>
      <w:r>
        <w:rPr>
          <w:lang w:val="ar_AE" w:bidi="ar_AE"/>
        </w:rPr>
        <w:t xml:space="preserve"> </w:t>
      </w:r>
      <w:hyperlink r:id="rId14">
        <w:r>
          <w:rPr>
            <w:lang w:val="ar_AE" w:bidi="ar_AE"/>
          </w:rPr>
          <w:rPr>
            <w:color w:val="0000EE"/>
            <w:u w:val="single"/>
          </w:rPr>
          <w:t>إبراهيم</w:t>
        </w:r>
      </w:hyperlink>
      <w:r>
        <w:rPr>
          <w:lang w:val="ar_AE" w:bidi="ar_AE"/>
        </w:rPr>
        <w:t xml:space="preserve">، أي </w:t>
      </w:r>
      <w:r>
        <w:rPr>
          <w:b/>
          <w:lang w:val="ar_AE" w:bidi="ar_AE"/>
        </w:rPr>
        <w:t>بنو إسرائيل</w:t>
      </w:r>
      <w:r>
        <w:rPr>
          <w:lang w:val="ar_AE" w:bidi="ar_AE"/>
        </w:rPr>
        <w:t xml:space="preserve">، </w:t>
      </w:r>
      <w:r>
        <w:rPr>
          <w:b/>
          <w:lang w:val="ar_AE" w:bidi="ar_AE"/>
        </w:rPr>
        <w:t>عبيدًا</w:t>
      </w:r>
      <w:r>
        <w:rPr>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hyperlink r:id="rId15">
        <w:r>
          <w:rPr>
            <w:lang w:val="ar_AE" w:bidi="ar_AE"/>
          </w:rPr>
          <w:rPr>
            <w:color w:val="0000EE"/>
            <w:u w:val="single"/>
          </w:rPr>
          <w:t>كنعان</w:t>
        </w:r>
      </w:hyperlink>
      <w:r>
        <w:rPr>
          <w:lang w:val="ar_AE" w:bidi="ar_AE"/>
        </w:rPr>
        <w:t xml:space="preserve">، الأرض التي وعد الله أن يعطيها لنسل إبراهيم. لم يسمح </w:t>
      </w:r>
      <w:hyperlink r:id="rId16">
        <w:r>
          <w:rPr>
            <w:lang w:val="ar_AE" w:bidi="ar_AE"/>
          </w:rPr>
          <w:rPr>
            <w:color w:val="0000EE"/>
            <w:u w:val="single"/>
          </w:rPr>
          <w:t>ملك</w:t>
        </w:r>
      </w:hyperlink>
      <w:r>
        <w:rPr>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hyperlink r:id="rId17">
        <w:r>
          <w:rPr>
            <w:lang w:val="ar_AE" w:bidi="ar_AE"/>
          </w:rPr>
          <w:rPr>
            <w:color w:val="0000EE"/>
            <w:u w:val="single"/>
          </w:rPr>
          <w:t>ملاكًا</w:t>
        </w:r>
      </w:hyperlink>
      <w:r>
        <w:rPr>
          <w:lang w:val="ar_AE" w:bidi="ar_AE"/>
        </w:rPr>
        <w:t xml:space="preserve"> ليقتل الابن البكر في كل بيت في مصر. لكن الله كان قد أمر بني إسرائيل أن يذبحوا حملًا، وهو حيوان، خروف صغير، وأن يضعوا دم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lang w:val="ar_AE" w:bidi="ar_AE"/>
        </w:rPr>
      </w:r>
      <w:r>
        <w:rPr>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والتي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lang w:val="ar_AE" w:bidi="ar_AE"/>
        </w:rPr>
      </w:r>
      <w:r>
        <w:rPr>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اسم الفصح يعني "أن يعبر" أو "أن يتخطى". وهذا الاسم كان يُذكِّر بني إسرائيل كيف عبر الملاك عن بيوت بني إسرائيل، ولم يقتل أبنائهم الأبكار. </w:t>
      </w:r>
    </w:p>
    <w:p>
      <w:pPr>
        <w:bidi/>
      </w:pPr>
      <w:r>
        <w:rPr>
          <w:lang w:val="ar_AE" w:bidi="ar_AE"/>
        </w:rPr>
      </w:r>
      <w:r>
        <w:rPr>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lang w:val="ar_AE" w:bidi="ar_AE"/>
        </w:rPr>
      </w:r>
      <w:r>
        <w:rPr>
          <w:lang w:val="ar_AE" w:bidi="ar_AE"/>
        </w:rPr>
        <w:t xml:space="preserve">وكان الله قد قال لبني إسرائيل أن عيد الفصح السنوي ينبغي أن يُتبع بسبعة أيام من </w:t>
      </w:r>
      <w:r>
        <w:rPr>
          <w:b/>
          <w:lang w:val="ar_AE" w:bidi="ar_AE"/>
        </w:rPr>
        <w:t>عيد الفطير</w:t>
      </w:r>
      <w:r>
        <w:rPr>
          <w:lang w:val="ar_AE" w:bidi="ar_AE"/>
        </w:rPr>
        <w:t>.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lang w:val="ar_AE" w:bidi="ar_AE"/>
        </w:rPr>
      </w:r>
      <w:r>
        <w:rPr>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lang w:val="ar_AE" w:bidi="ar_AE"/>
        </w:rPr>
      </w:r>
      <w:r>
        <w:rPr>
          <w:lang w:val="ar_AE" w:bidi="ar_AE"/>
        </w:rPr>
        <w:t>ولأن الفصح وعيد الفطير كانا يُحتفل بهما معًا، فإن أسماء الأعياد، في كثير من الأحيان، كانت تُستخدم بالتبادل.</w:t>
      </w:r>
    </w:p>
    <w:p>
      <w:pPr>
        <w:bidi/>
      </w:pPr>
      <w:r>
        <w:rPr>
          <w:lang w:val="ar_AE" w:bidi="ar_AE"/>
        </w:rPr>
      </w:r>
      <w:r>
        <w:rPr>
          <w:lang w:val="ar_AE" w:bidi="ar_AE"/>
        </w:rPr>
        <w:t xml:space="preserve">وفي العهد الجديد، يُستخدم الخمير أحيانًا كرمز </w:t>
      </w:r>
      <w:hyperlink r:id="rId18">
        <w:r>
          <w:rPr>
            <w:lang w:val="ar_AE" w:bidi="ar_AE"/>
          </w:rPr>
          <w:rPr>
            <w:color w:val="0000EE"/>
            <w:u w:val="single"/>
          </w:rPr>
          <w:t>للخطية</w:t>
        </w:r>
      </w:hyperlink>
      <w:r>
        <w:rPr>
          <w:lang w:val="ar_AE" w:bidi="ar_AE"/>
        </w:rPr>
        <w:t xml:space="preserve"> التي ينبغي أن نتخلَّص منها في حياتنا.</w:t>
      </w:r>
      <w:r>
        <w:rPr>
          <w:lang w:val="ar_AE" w:bidi="ar_AE"/>
        </w:rPr>
      </w:r>
      <w:r>
        <w:rPr>
          <w:lang w:val="ar_AE" w:bidi="ar_AE"/>
        </w:rPr>
      </w:r>
    </w:p>
    <w:p>
      <w:pPr>
        <w:bidi/>
      </w:pPr>
      <w:r>
        <w:rPr>
          <w:lang w:val="ar_AE" w:bidi="ar_AE"/>
        </w:rPr>
      </w:r>
    </w:p>
    <w:p>
      <w:pPr>
        <w:pStyle w:val="Heading2"/>
        <w:bidi/>
      </w:pPr>
      <w:r>
        <w:rPr>
          <w:lang w:val="ar_AE" w:bidi="ar_AE"/>
        </w:rPr>
        <w:t>فجور</w:t>
      </w:r>
      <w:r>
        <w:rPr>
          <w:lang w:val="ar_AE" w:bidi="ar_AE"/>
        </w:rPr>
      </w:r>
    </w:p>
    <w:p>
      <w:pPr>
        <w:bidi/>
      </w:pPr>
      <w:r>
        <w:rPr>
          <w:lang w:val="ar_AE" w:bidi="ar_AE"/>
        </w:rPr>
      </w:r>
      <w:r>
        <w:rPr>
          <w:lang w:val="ar_AE" w:bidi="ar_AE"/>
        </w:rPr>
        <w:t xml:space="preserve">عندما يرتكب الناس الخطايا الجنسية من أي نوع، فنقول إن ذلك </w:t>
      </w:r>
      <w:r>
        <w:rPr>
          <w:b/>
          <w:lang w:val="ar_AE" w:bidi="ar_AE"/>
        </w:rPr>
        <w:t>غير أخلاقي</w:t>
      </w:r>
      <w:r>
        <w:rPr>
          <w:lang w:val="ar_AE" w:bidi="ar_AE"/>
        </w:rPr>
        <w:t xml:space="preserve">. وعندما يكون لرجل متزوج أو لامرأة متزوجة علاقات جنسية خارج إطار الزواج، فنقول أنهم يرتكبون الزنا. لكن عندما يقول الكتاب المُقدَّس أن شخصًا ما يفعل أشياء غير أخلاقية (يفعل الفجور)، فإنه يكون قد فعل أي نوع من الخطايا الجنسية. وعادةً عندما يكون شخص ما فاجرًا، فإنه يرتكب نوعًا ما من الخطايا الجنسية وهو ليس متزوجًا. وأحيانًا، يستخدم كتبة الكتاب المُقدَّس كلمة "الفجَّار" أو "الزناة" ليتحدثوا عن أشخاص يعبدون </w:t>
      </w:r>
      <w:r>
        <w:rPr>
          <w:b/>
          <w:lang w:val="ar_AE" w:bidi="ar_AE"/>
        </w:rPr>
        <w:t>الأوثان</w:t>
      </w:r>
      <w:r>
        <w:rPr>
          <w:lang w:val="ar_AE" w:bidi="ar_AE"/>
        </w:rPr>
        <w:t xml:space="preserve"> بدلًا من أن يعبدوا الله. فتمامًا كما يكون الرجال أو النساء غير أمناء نحو بعضهم البعض عندما يخطئون مع شخص ما جنسيًا، فإن الشخص الذي يعبد إلهًا كاذبًا أو وثنًا بدلًا من الإله الحقيقي يكون غير أمين لله. ويمكننا أيضًا أن ندعو هؤلاء الناس فجارًا أو زناة. </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 xml:space="preserve">فعندما يكون شخص ما سجينًا، أو </w:t>
      </w:r>
      <w:hyperlink r:id="rId19">
        <w:r>
          <w:rPr>
            <w:lang w:val="ar_AE" w:bidi="ar_AE"/>
          </w:rPr>
          <w:rPr>
            <w:color w:val="0000EE"/>
            <w:u w:val="single"/>
          </w:rPr>
          <w:t>عبدًا</w:t>
        </w:r>
      </w:hyperlink>
      <w:r>
        <w:rPr>
          <w:lang w:val="ar_AE" w:bidi="ar_AE"/>
        </w:rPr>
        <w:t xml:space="preserve">، فإن شخص آخر يستطيع أن يشترى الحرية لهذا الشخص. والمال الذي يدفعه الشخص لتحرير السجين أو العبد يُدعى </w:t>
      </w:r>
      <w:r>
        <w:rPr>
          <w:b/>
          <w:lang w:val="ar_AE" w:bidi="ar_AE"/>
        </w:rPr>
        <w:t>فدية</w:t>
      </w:r>
      <w:r>
        <w:rPr>
          <w:lang w:val="ar_AE" w:bidi="ar_AE"/>
        </w:rPr>
        <w:t>.</w:t>
      </w:r>
    </w:p>
    <w:p>
      <w:pPr>
        <w:bidi/>
      </w:pPr>
      <w:r>
        <w:rPr>
          <w:lang w:val="ar_AE" w:bidi="ar_AE"/>
        </w:rPr>
      </w:r>
      <w:r>
        <w:rPr>
          <w:lang w:val="ar_AE" w:bidi="ar_AE"/>
        </w:rPr>
        <w:t xml:space="preserve">ويقول الكتاب المُقدَّس أنَّ يسوع بذل حياته فدية من أجل الناس. وهذا يعني أن الناس كانوا مثل السجناء أو العبيد، وأن يسوع دفع شيئًا ليحررهم. ويسوع لم يشتر الحرية للناس بدفع أموال، بل بحياته الخاصة، وهي أكثر قيمة بما لا يقارن. فموت يسوع كان الثمن الذي دفعه ليحرر الناس من </w:t>
      </w:r>
      <w:hyperlink r:id="rId18">
        <w:r>
          <w:rPr>
            <w:lang w:val="ar_AE" w:bidi="ar_AE"/>
          </w:rPr>
          <w:rPr>
            <w:color w:val="0000EE"/>
            <w:u w:val="single"/>
          </w:rPr>
          <w:t>الخطية</w:t>
        </w:r>
      </w:hyperlink>
      <w:r>
        <w:rPr>
          <w:lang w:val="ar_AE" w:bidi="ar_AE"/>
        </w:rPr>
        <w:t xml:space="preserve"> والعار والموت.</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 xml:space="preserve">كلمة </w:t>
      </w:r>
      <w:r>
        <w:rPr>
          <w:b/>
          <w:lang w:val="ar_AE" w:bidi="ar_AE"/>
        </w:rPr>
        <w:t>فردوس (جنة)</w:t>
      </w:r>
      <w:r>
        <w:rPr>
          <w:lang w:val="ar_AE" w:bidi="ar_AE"/>
        </w:rPr>
        <w:t xml:space="preserve"> كانت تعني أولًا حديقة جميلة، أي مكان به أشجار وزهور جميلة يمكن للأشخاص أن يستمتعوا بها. وعندما كان الناس يفكرون في حديقة الفردوس (الجنة)، فإنهم كانوا يفكرون فيها على أنها مكان للسعادة والفرح. لذلك فقد بدأ الناس لاحقًا في استخدام هذه الكلمة كي يصفوا المكان الجيد الذي سيعيش فيه الأشخاص المقبولين لدى الله معه بعد الموت.</w:t>
      </w:r>
    </w:p>
    <w:p>
      <w:pPr>
        <w:bidi/>
      </w:pPr>
      <w:r>
        <w:rPr>
          <w:lang w:val="ar_AE" w:bidi="ar_AE"/>
        </w:rPr>
      </w:r>
      <w:r>
        <w:rPr>
          <w:lang w:val="ar_AE" w:bidi="ar_AE"/>
        </w:rPr>
        <w:t>في أول سفر في الكتاب المقدس، خلق الله الإنسان الأول: آدم وحواء. وكانا يقيمان أولًا في حديقة أو جنة جميلة، مثل الفردوس. وفي هذه الحديقة كانت توجد شجرة الحياة، وشجرة معرفة الخير والشر. ولقد منع الله آدم وحواء من الأكل من شجرة معرفة الخير والشر. لكن آدم وحواء عصيا الله، وبسبب ذلك، كان عليهما أن يتركا هذه الحديقة (الجنة). ولأنهم اضطرا إلى ترك هذه الجنة، فقد فقدا أيضًا قدرتهما على الوصول إلى شجرة الحياة.</w:t>
      </w:r>
    </w:p>
    <w:p>
      <w:pPr>
        <w:bidi/>
      </w:pPr>
      <w:r>
        <w:rPr>
          <w:lang w:val="ar_AE" w:bidi="ar_AE"/>
        </w:rPr>
      </w:r>
      <w:r>
        <w:rPr>
          <w:lang w:val="ar_AE" w:bidi="ar_AE"/>
        </w:rPr>
        <w:t>لكننا نجد في آخر سفر من الكتاب المقدس، أي سفر الرؤيا، يسوع وهو يقول إنه توجد شجرة حياة في فردوس الله. فأولئك الذين سيكونون أمناء وطائعين ليسوع سيمكنهم أن يأكلوا من ثمر شجرة الحياة هذه! وهذا يعني أنه يمكنهم أن يعيشوا إلى الأبد في علاقة جيدة مع الله.</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b/>
          <w:lang w:val="ar_AE" w:bidi="ar_AE"/>
        </w:rPr>
        <w:t>فرعون</w:t>
      </w:r>
      <w:r>
        <w:rPr>
          <w:lang w:val="ar_AE" w:bidi="ar_AE"/>
        </w:rPr>
        <w:t xml:space="preserve"> كان لقبًا </w:t>
      </w:r>
      <w:hyperlink r:id="rId16">
        <w:r>
          <w:rPr>
            <w:lang w:val="ar_AE" w:bidi="ar_AE"/>
          </w:rPr>
          <w:rPr>
            <w:color w:val="0000EE"/>
            <w:u w:val="single"/>
          </w:rPr>
          <w:t>للمَلِك</w:t>
        </w:r>
      </w:hyperlink>
      <w:r>
        <w:rPr>
          <w:lang w:val="ar_AE" w:bidi="ar_AE"/>
        </w:rPr>
        <w:t xml:space="preserve"> في بلاد مصر. وكلمة فرعون تعني "البيت العظيم". هذه الكلمة كانت تُشير فقط إلى البناء الذي كان يسكن فيه الملك، لكن لاحقًا بدأ الناس يستخدمون هذه الكلمة للإشارة إلى الملوك أنفسهم. وقد كان معظم الفراعنة من الذكور، لكن كان هناك أيضًا بعض الفراعنة من الإناث.</w:t>
      </w:r>
    </w:p>
    <w:p>
      <w:pPr>
        <w:bidi/>
      </w:pPr>
      <w:r>
        <w:rPr>
          <w:lang w:val="ar_AE" w:bidi="ar_AE"/>
        </w:rPr>
      </w:r>
      <w:r>
        <w:rPr>
          <w:lang w:val="ar_AE" w:bidi="ar_AE"/>
        </w:rPr>
        <w:t>وكان الناس في مصر يعتقدون أن الفرعون كان ابنًا لأحد الآلهة لديهم. كما كان للفرعون وظيفة دينية مهمة. فقد كان وسيطًا بين الشعب وآلهتهم، وكان يتأكد من أن الناس يمارسون الطقوس الدينية بشكل صحيح. وكان يطلب من الآلهة أن تمنح الشعب الرخاء.</w:t>
      </w:r>
      <w:r>
        <w:rPr>
          <w:lang w:val="ar_AE" w:bidi="ar_AE"/>
        </w:rPr>
      </w:r>
      <w:r>
        <w:rPr>
          <w:lang w:val="ar_AE" w:bidi="ar_AE"/>
        </w:rPr>
      </w:r>
    </w:p>
    <w:p>
      <w:pPr>
        <w:bidi/>
      </w:pPr>
      <w:r>
        <w:rPr>
          <w:lang w:val="ar_AE" w:bidi="ar_AE"/>
        </w:rPr>
      </w:r>
    </w:p>
    <w:p>
      <w:pPr>
        <w:pStyle w:val="Heading2"/>
        <w:bidi/>
      </w:pPr>
      <w:r>
        <w:rPr>
          <w:lang w:val="ar_AE" w:bidi="ar_AE"/>
        </w:rPr>
        <w:t>فريسيّ</w:t>
      </w:r>
      <w:r>
        <w:rPr>
          <w:lang w:val="ar_AE" w:bidi="ar_AE"/>
        </w:rPr>
      </w:r>
    </w:p>
    <w:p>
      <w:pPr>
        <w:bidi/>
      </w:pPr>
      <w:r>
        <w:rPr>
          <w:lang w:val="ar_AE" w:bidi="ar_AE"/>
        </w:rPr>
      </w:r>
      <w:r>
        <w:rPr>
          <w:b/>
          <w:lang w:val="ar_AE" w:bidi="ar_AE"/>
        </w:rPr>
        <w:t>الفريسيون</w:t>
      </w:r>
      <w:r>
        <w:rPr>
          <w:lang w:val="ar_AE" w:bidi="ar_AE"/>
        </w:rPr>
        <w:t xml:space="preserve"> كانوا مجموعة من المُعَلِّمين الدينيين في زمن يسوع والذين كانوا مهتمين للغاية بشأن طاعة ناموس الله بشكل كامل. ولمئات السنين، كان الناس الذين ينتمون إلى هذه المجموعة يتناقشون في </w:t>
      </w:r>
      <w:r>
        <w:rPr>
          <w:b/>
          <w:lang w:val="ar_AE" w:bidi="ar_AE"/>
        </w:rPr>
        <w:t>ناموس</w:t>
      </w:r>
      <w:r>
        <w:rPr>
          <w:lang w:val="ar_AE" w:bidi="ar_AE"/>
        </w:rPr>
        <w:t xml:space="preserve"> الله ووصاياه التي أعطاها الله </w:t>
      </w:r>
      <w:r>
        <w:rPr>
          <w:b/>
          <w:lang w:val="ar_AE" w:bidi="ar_AE"/>
        </w:rPr>
        <w:t>لبني إسرائيل</w:t>
      </w:r>
      <w:r>
        <w:rPr>
          <w:lang w:val="ar_AE" w:bidi="ar_AE"/>
        </w:rPr>
        <w:t xml:space="preserve">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في ذلك الوقت،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كلمة فريسي تعني حرفيًا "أن ينفَصِل". فالفريسيون كانوا يريدون أن يفصلوا أنفسهم عن باقي الناس الآخرين.</w:t>
      </w:r>
    </w:p>
    <w:p>
      <w:pPr>
        <w:bidi/>
      </w:pPr>
      <w:r>
        <w:rPr>
          <w:lang w:val="ar_AE" w:bidi="ar_AE"/>
        </w:rPr>
      </w:r>
      <w:r>
        <w:rPr>
          <w:lang w:val="ar_AE" w:bidi="ar_AE"/>
        </w:rPr>
        <w:t xml:space="preserve">وفي زمن يسوع، كان الفريسيون أكثر مجموعات المُعَلِّمين الدينيين تأثيرًا في </w:t>
      </w:r>
      <w:hyperlink r:id="rId13">
        <w:r>
          <w:rPr>
            <w:lang w:val="ar_AE" w:bidi="ar_AE"/>
          </w:rPr>
          <w:rPr>
            <w:color w:val="0000EE"/>
            <w:u w:val="single"/>
          </w:rPr>
          <w:t>إسرائيل</w:t>
        </w:r>
      </w:hyperlink>
      <w:r>
        <w:rPr>
          <w:lang w:val="ar_AE" w:bidi="ar_AE"/>
        </w:rPr>
        <w:t xml:space="preserve">. وكان العديد من المُعَلِّمين الدينيين في </w:t>
      </w:r>
      <w:hyperlink r:id="rId20">
        <w:r>
          <w:rPr>
            <w:lang w:val="ar_AE" w:bidi="ar_AE"/>
          </w:rPr>
          <w:rPr>
            <w:color w:val="0000EE"/>
            <w:u w:val="single"/>
          </w:rPr>
          <w:t>أورشليم</w:t>
        </w:r>
      </w:hyperlink>
      <w:r>
        <w:rPr>
          <w:lang w:val="ar_AE" w:bidi="ar_AE"/>
        </w:rPr>
        <w:t xml:space="preserve"> ينتمون إلى جماعة الفريسيين. وكانت هناك مجموعة أخرى مهمة من المُعَلِّمين الدينيين تُدعى </w:t>
      </w:r>
      <w:r>
        <w:rPr>
          <w:b/>
          <w:lang w:val="ar_AE" w:bidi="ar_AE"/>
        </w:rPr>
        <w:t>الصدوقيين</w:t>
      </w:r>
      <w:r>
        <w:rPr>
          <w:lang w:val="ar_AE" w:bidi="ar_AE"/>
        </w:rPr>
        <w:t xml:space="preserve">. وكان الفريسيون والصدوقيون أيضًا جزءًا من مجمع </w:t>
      </w:r>
      <w:hyperlink r:id="rId21">
        <w:r>
          <w:rPr>
            <w:lang w:val="ar_AE" w:bidi="ar_AE"/>
          </w:rPr>
          <w:rPr>
            <w:color w:val="0000EE"/>
            <w:u w:val="single"/>
          </w:rPr>
          <w:t>السنهدريم</w:t>
        </w:r>
      </w:hyperlink>
      <w:r>
        <w:rPr>
          <w:lang w:val="ar_AE" w:bidi="ar_AE"/>
        </w:rPr>
        <w:t xml:space="preserve">، وهو المحكمة الدينية </w:t>
      </w:r>
      <w:r>
        <w:rPr>
          <w:b/>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فندق (نُزُل)</w:t>
      </w:r>
      <w:r>
        <w:rPr>
          <w:lang w:val="ar_AE" w:bidi="ar_AE"/>
        </w:rPr>
      </w:r>
    </w:p>
    <w:p>
      <w:pPr>
        <w:bidi/>
      </w:pPr>
      <w:r>
        <w:rPr>
          <w:lang w:val="ar_AE" w:bidi="ar_AE"/>
        </w:rPr>
      </w:r>
      <w:r>
        <w:rPr>
          <w:b/>
          <w:lang w:val="ar_AE" w:bidi="ar_AE"/>
        </w:rPr>
        <w:t>الفندق</w:t>
      </w:r>
      <w:r>
        <w:rPr>
          <w:lang w:val="ar_AE" w:bidi="ar_AE"/>
        </w:rPr>
        <w:t xml:space="preserve"> هو مصطلح عام للإشارة إلى مكان يمكن للمسافرين أن يقيموا فيه. ويمكن أن يكون هذا مكانًا يضطر الناس إلى دفع بعض المال فيه كي يتمكنوا من الإقامة به، لكنه غالبًا ما كان يعني غرفة في بيت شخص ما مخصصة للضيوف. وعندما يأتي الأقارب أو الأصدقاء لزيارتهم، كان بإمكانهم أن يقيموا في هذه الغرفة.</w:t>
      </w:r>
      <w:r>
        <w:rPr>
          <w:lang w:val="ar_AE" w:bidi="ar_AE"/>
        </w:rPr>
      </w:r>
      <w:r>
        <w:rPr>
          <w:lang w:val="ar_AE" w:bidi="ar_AE"/>
        </w:rPr>
      </w:r>
    </w:p>
    <w:p>
      <w:pPr>
        <w:bidi/>
      </w:pPr>
      <w:r>
        <w:rPr>
          <w:lang w:val="ar_AE" w:bidi="ar_AE"/>
        </w:rPr>
      </w:r>
    </w:p>
    <w:p>
      <w:pPr>
        <w:pStyle w:val="Heading2"/>
        <w:bidi/>
      </w:pPr>
      <w:r>
        <w:rPr>
          <w:lang w:val="ar_AE" w:bidi="ar_AE"/>
        </w:rPr>
        <w:t>فينيقية السورية</w:t>
      </w:r>
      <w:r>
        <w:rPr>
          <w:lang w:val="ar_AE" w:bidi="ar_AE"/>
        </w:rPr>
      </w:r>
    </w:p>
    <w:p>
      <w:pPr>
        <w:bidi/>
      </w:pPr>
      <w:r>
        <w:rPr>
          <w:lang w:val="ar_AE" w:bidi="ar_AE"/>
        </w:rPr>
      </w:r>
      <w:r>
        <w:rPr>
          <w:b/>
          <w:lang w:val="ar_AE" w:bidi="ar_AE"/>
        </w:rPr>
        <w:t>فينيقية</w:t>
      </w:r>
      <w:r>
        <w:rPr>
          <w:lang w:val="ar_AE" w:bidi="ar_AE"/>
        </w:rPr>
        <w:t xml:space="preserve"> هو اسم منطقة تقع شمال </w:t>
      </w:r>
      <w:hyperlink r:id="rId13">
        <w:r>
          <w:rPr>
            <w:lang w:val="ar_AE" w:bidi="ar_AE"/>
          </w:rPr>
          <w:rPr>
            <w:color w:val="0000EE"/>
            <w:u w:val="single"/>
          </w:rPr>
          <w:t>إسرائيل</w:t>
        </w:r>
      </w:hyperlink>
      <w:r>
        <w:rPr>
          <w:lang w:val="ar_AE" w:bidi="ar_AE"/>
        </w:rPr>
        <w:t>. وكانت فينيقية شريطًا ضيقًا يتألف من خمس مدن على ساحل البحر الأبيض المتوسط.</w:t>
      </w:r>
    </w:p>
    <w:p>
      <w:pPr>
        <w:bidi/>
      </w:pPr>
      <w:r>
        <w:rPr>
          <w:lang w:val="ar_AE" w:bidi="ar_AE"/>
        </w:rPr>
      </w:r>
      <w:r>
        <w:rPr>
          <w:lang w:val="ar_AE" w:bidi="ar_AE"/>
        </w:rPr>
        <w:t>وفي زمن العهد الجديد، كانت هذه المنطقة تنتمي إلى بلد تُدعى سوريا. ولذلك السبب، فإن شخصًا من تلك المنطقة يمكن أن يُدعى "فينيقي سوري". والعديد من الناس الذين كانوا يعيشون في هذه المنطقة كانوا قد جاءوا من بلدان أخرى، وخاصة من اليونان. وكان الكثير من سكان هذه المنطقة يعملون في التجارة – شراء وبيع البضائع، ولا سيما عن طريق السفن.</w:t>
      </w:r>
    </w:p>
    <w:p>
      <w:pPr>
        <w:bidi/>
      </w:pPr>
      <w:r>
        <w:rPr>
          <w:lang w:val="ar_AE" w:bidi="ar_AE"/>
        </w:rPr>
      </w:r>
      <w:r>
        <w:rPr>
          <w:lang w:val="ar_AE" w:bidi="ar_AE"/>
        </w:rPr>
        <w:t>واليوم، هذه المنطقة هي جزء من البلد الذي نعرفه الآن باسم لبنان.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 TargetMode="External"/><Relationship Id="rId15" Type="http://schemas.openxmlformats.org/officeDocument/2006/relationships/hyperlink" Target="#t178" TargetMode="External"/><Relationship Id="rId16" Type="http://schemas.openxmlformats.org/officeDocument/2006/relationships/hyperlink" Target="#t226" TargetMode="External"/><Relationship Id="rId17" Type="http://schemas.openxmlformats.org/officeDocument/2006/relationships/hyperlink" Target="#t4" TargetMode="External"/><Relationship Id="rId18" Type="http://schemas.openxmlformats.org/officeDocument/2006/relationships/hyperlink" Target="#t125" TargetMode="External"/><Relationship Id="rId19" Type="http://schemas.openxmlformats.org/officeDocument/2006/relationships/hyperlink" Target="#t126" TargetMode="External"/><Relationship Id="rId20" Type="http://schemas.openxmlformats.org/officeDocument/2006/relationships/hyperlink" Target="#t76" TargetMode="External"/><Relationship Id="rId21" Type="http://schemas.openxmlformats.org/officeDocument/2006/relationships/hyperlink" Targe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