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标题：野驴（wild ass）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2.32</w:t>
      </w:r>
      <w:r>
        <w:rPr>
          <w:lang w:val="zh_CN" w:bidi="zh_CN"/>
        </w:rPr>
        <w:t xml:space="preserve"> 标题：野驴（wild ass）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来：עָרוֹד, עֲרָד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(音译：‘arod, ‘arad)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39:5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来：פֶּרֶא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(音译：pere’)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16:12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JOB 6:5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JOB 11:12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JOB 24:5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39:5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PSA 104:11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ISA 32:14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JER 2:24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JER 14:6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HOS 8:9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希：ὄναγρος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(音译：onagros)</w:t>
      </w:r>
      <w:hyperlink r:id="rId25">
        <w:r>
          <w:rPr>
            <w:lang w:val="zh_CN" w:bidi="zh_CN"/>
          </w:rPr>
          <w:rPr>
            <w:color w:val="0000EE"/>
            <w:u w:val="single"/>
          </w:rPr>
          <w:t>SIR 13:19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努比亚野驴 (Jim Black(Pixabay))</w:t>
      </w:r>
      <w:r>
        <w:rPr>
          <w:lang w:val="zh_CN" w:bidi="zh_CN"/>
        </w:rPr>
        <w:t>以色列人知道的野驴有两种：生活在红海的非洲一侧的努比亚野驴（学名</w:t>
      </w:r>
      <w:r>
        <w:rPr>
          <w:i/>
          <w:lang w:val="zh_CN" w:bidi="zh_CN"/>
        </w:rPr>
        <w:t>Asinus asinus africanus</w:t>
      </w:r>
      <w:r>
        <w:rPr>
          <w:lang w:val="zh_CN" w:bidi="zh_CN"/>
        </w:rPr>
        <w:t xml:space="preserve"> ），以及常见于以色列地、叙利亚和美索不达美亚的波斯野驴或亚洲野驴（学名</w:t>
      </w:r>
      <w:r>
        <w:rPr>
          <w:i/>
          <w:lang w:val="zh_CN" w:bidi="zh_CN"/>
        </w:rPr>
        <w:t>Equus hemionus</w:t>
      </w:r>
      <w:r>
        <w:rPr>
          <w:lang w:val="zh_CN" w:bidi="zh_CN"/>
        </w:rPr>
        <w:t xml:space="preserve"> ）。希伯来文</w:t>
      </w:r>
      <w:r>
        <w:rPr>
          <w:i/>
          <w:lang w:val="zh_CN" w:bidi="zh_CN"/>
        </w:rPr>
        <w:t>‘arod</w:t>
      </w:r>
      <w:r>
        <w:rPr>
          <w:lang w:val="zh_CN" w:bidi="zh_CN"/>
        </w:rPr>
        <w:t xml:space="preserve"> 和亚兰文</w:t>
      </w:r>
      <w:r>
        <w:rPr>
          <w:i/>
          <w:lang w:val="zh_CN" w:bidi="zh_CN"/>
        </w:rPr>
        <w:t>‘arad</w:t>
      </w:r>
      <w:r>
        <w:rPr>
          <w:lang w:val="zh_CN" w:bidi="zh_CN"/>
        </w:rPr>
        <w:t xml:space="preserve"> 似乎是指努比亚野驴，而希伯来文</w:t>
      </w:r>
      <w:r>
        <w:rPr>
          <w:i/>
          <w:lang w:val="zh_CN" w:bidi="zh_CN"/>
        </w:rPr>
        <w:t>pere’</w:t>
      </w:r>
      <w:r>
        <w:rPr>
          <w:lang w:val="zh_CN" w:bidi="zh_CN"/>
        </w:rPr>
        <w:t xml:space="preserve"> 指的是亚洲野驴。</w:t>
      </w:r>
    </w:p>
    <w:p>
      <w:r>
        <w:drawing>
          <wp:inline xmlns:a="http://schemas.openxmlformats.org/drawingml/2006/main" xmlns:pic="http://schemas.openxmlformats.org/drawingml/2006/picture">
            <wp:extent cx="1463040" cy="856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5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人们猎杀这两种野驴都是为了吃肉。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努比亚野驴可能是所有家养驴的祖先。这是一种体型较小、浅棕色的驴，脊背和肩膀上有一条独特的黑色条纹。努比亚野驴原来在前腿的下部有条纹。它的耳朵很长，尾尖有长毛。现今，在埃塞俄比亚、厄立特里亚和索马里依然能找到这种野驴。</w:t>
      </w:r>
    </w:p>
    <w:p>
      <w:pPr/>
      <w:r>
        <w:rPr>
          <w:lang w:val="zh_CN" w:bidi="zh_CN"/>
        </w:rPr>
      </w:r>
      <w:r>
        <w:rPr>
          <w:lang w:val="zh_CN" w:bidi="zh_CN"/>
        </w:rPr>
        <w:t>亚洲野驴 (Michael Oppermann (Wikimedia Commons))</w:t>
      </w:r>
      <w:r>
        <w:rPr>
          <w:lang w:val="zh_CN" w:bidi="zh_CN"/>
        </w:rPr>
        <w:t>亚洲野驴（或波斯野驴）是一种体型较大的动物，科学上归为马的一种。外形有些像骡子。学名</w:t>
      </w:r>
      <w:r>
        <w:rPr>
          <w:i/>
          <w:lang w:val="zh_CN" w:bidi="zh_CN"/>
        </w:rPr>
        <w:t>Hemionus</w:t>
      </w:r>
      <w:r>
        <w:rPr>
          <w:lang w:val="zh_CN" w:bidi="zh_CN"/>
        </w:rPr>
        <w:t xml:space="preserve"> 的意思是"半个驴"。亚洲野驴的耳朵比一般的驴子小，身体呈浅黄褐色，但胸部和腹部略显白色。这种驴子显然从来没有被完全驯化，虽然古代苏美尔人的一幅图画描绘几只亚洲野驴套在一辆战车上。在叙利亚和伊拉克的部分地区仍然能发现非常少量的野驴，并且它们已被重新引入以色列。</w:t>
      </w:r>
    </w:p>
    <w:p>
      <w:r>
        <w:t>&lt;image: 2Q==&gt;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亚洲野驴象征不可驯服的野性，因此"野驴"用来形容那些行为失控的人。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非洲，与野驴最接近的对等词是斑马，它们的大小差不多，属于同一个科。和亚洲野驴一样，斑马也从未被广泛驯养。在有些经文中，"野驴"指原本是家养、但后来回到野外生活的驴，此时最好使用意为"野马"的词语，因为野驴很容易被捕获和驯化，而野马则较难驯化。然而，在用同一个词语表示马和斑马的语言中，这仍然是一个问题。</w:t>
      </w:r>
    </w:p>
    <w:p>
      <w:pPr/>
      <w:r>
        <w:rPr>
          <w:lang w:val="zh_CN" w:bidi="zh_CN"/>
        </w:rPr>
      </w:r>
      <w:r>
        <w:rPr>
          <w:lang w:val="zh_CN" w:bidi="zh_CN"/>
        </w:rPr>
        <w:t>这些希伯来文词语和亚兰文</w:t>
      </w:r>
      <w:r>
        <w:rPr>
          <w:i/>
          <w:lang w:val="zh_CN" w:bidi="zh_CN"/>
        </w:rPr>
        <w:t>‘arad</w:t>
      </w:r>
      <w:r>
        <w:rPr>
          <w:lang w:val="zh_CN" w:bidi="zh_CN"/>
        </w:rPr>
        <w:t xml:space="preserve"> 都可以使用相同的词语或表达来翻译，因为除了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39:5</w:t>
        </w:r>
      </w:hyperlink>
      <w:r>
        <w:rPr>
          <w:lang w:val="zh_CN" w:bidi="zh_CN"/>
        </w:rPr>
        <w:t xml:space="preserve"> 之外，圣经文本并没有对野驴的品种进行区分。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39:5</w:t>
        </w:r>
      </w:hyperlink>
      <w:r>
        <w:rPr>
          <w:lang w:val="zh_CN" w:bidi="zh_CN"/>
        </w:rPr>
        <w:t xml:space="preserve"> 同时出现了希伯来文</w:t>
      </w:r>
      <w:r>
        <w:rPr>
          <w:i/>
          <w:lang w:val="zh_CN" w:bidi="zh_CN"/>
        </w:rPr>
        <w:t>pere’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‘arod</w:t>
      </w:r>
      <w:r>
        <w:rPr>
          <w:lang w:val="zh_CN" w:bidi="zh_CN"/>
        </w:rPr>
        <w:t xml:space="preserve"> ：</w:t>
      </w:r>
    </w:p>
    <w:p>
      <w:pPr/>
      <w:r>
        <w:rPr>
          <w:lang w:val="zh_CN" w:bidi="zh_CN"/>
        </w:rPr>
      </w:r>
      <w:r>
        <w:rPr>
          <w:lang w:val="zh_CN" w:bidi="zh_CN"/>
        </w:rPr>
        <w:t>谁放野马（</w:t>
      </w:r>
      <w:r>
        <w:rPr>
          <w:i/>
          <w:lang w:val="zh_CN" w:bidi="zh_CN"/>
        </w:rPr>
        <w:t>pere’</w:t>
      </w:r>
      <w:r>
        <w:rPr>
          <w:lang w:val="zh_CN" w:bidi="zh_CN"/>
        </w:rPr>
        <w:t xml:space="preserve"> ）自由？</w:t>
      </w:r>
    </w:p>
    <w:p>
      <w:pPr/>
      <w:r>
        <w:rPr>
          <w:lang w:val="zh_CN" w:bidi="zh_CN"/>
        </w:rPr>
      </w:r>
      <w:r>
        <w:rPr>
          <w:lang w:val="zh_CN" w:bidi="zh_CN"/>
        </w:rPr>
        <w:t>谁解开野驴（</w:t>
      </w:r>
      <w:r>
        <w:rPr>
          <w:i/>
          <w:lang w:val="zh_CN" w:bidi="zh_CN"/>
        </w:rPr>
        <w:t>‘arod</w:t>
      </w:r>
      <w:r>
        <w:rPr>
          <w:lang w:val="zh_CN" w:bidi="zh_CN"/>
        </w:rPr>
        <w:t xml:space="preserve"> ）的绳索？</w:t>
      </w:r>
    </w:p>
    <w:p>
      <w:pPr/>
      <w:r>
        <w:rPr>
          <w:lang w:val="zh_CN" w:bidi="zh_CN"/>
        </w:rPr>
      </w:r>
      <w:r>
        <w:rPr>
          <w:lang w:val="zh_CN" w:bidi="zh_CN"/>
        </w:rPr>
        <w:t>翻译者可以在第二行使用代词（谁解开它的绳索），或者把</w:t>
      </w:r>
      <w:r>
        <w:rPr>
          <w:i/>
          <w:lang w:val="zh_CN" w:bidi="zh_CN"/>
        </w:rPr>
        <w:t>pere’</w:t>
      </w:r>
      <w:r>
        <w:rPr>
          <w:lang w:val="zh_CN" w:bidi="zh_CN"/>
        </w:rPr>
        <w:t xml:space="preserve"> 翻译成"斑马"或"野马"，把</w:t>
      </w:r>
      <w:r>
        <w:rPr>
          <w:i/>
          <w:lang w:val="zh_CN" w:bidi="zh_CN"/>
        </w:rPr>
        <w:t>‘arod</w:t>
      </w:r>
      <w:r>
        <w:rPr>
          <w:lang w:val="zh_CN" w:bidi="zh_CN"/>
        </w:rPr>
        <w:t xml:space="preserve"> 翻译成"野驴"，以此来保留经文的平行结构。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39:5" TargetMode="External"/><Relationship Id="rId15" Type="http://schemas.openxmlformats.org/officeDocument/2006/relationships/hyperlink" Target="https://ref.ly/Dan5:21" TargetMode="External"/><Relationship Id="rId16" Type="http://schemas.openxmlformats.org/officeDocument/2006/relationships/hyperlink" Target="https://ref.ly/Gen16:12" TargetMode="External"/><Relationship Id="rId17" Type="http://schemas.openxmlformats.org/officeDocument/2006/relationships/hyperlink" Target="https://ref.ly/Job6:5" TargetMode="External"/><Relationship Id="rId18" Type="http://schemas.openxmlformats.org/officeDocument/2006/relationships/hyperlink" Target="https://ref.ly/Job11:12" TargetMode="External"/><Relationship Id="rId19" Type="http://schemas.openxmlformats.org/officeDocument/2006/relationships/hyperlink" Target="https://ref.ly/Job24:5" TargetMode="External"/><Relationship Id="rId20" Type="http://schemas.openxmlformats.org/officeDocument/2006/relationships/hyperlink" Target="https://ref.ly/Ps104:11" TargetMode="External"/><Relationship Id="rId21" Type="http://schemas.openxmlformats.org/officeDocument/2006/relationships/hyperlink" Target="https://ref.ly/Isa32:14" TargetMode="External"/><Relationship Id="rId22" Type="http://schemas.openxmlformats.org/officeDocument/2006/relationships/hyperlink" Target="https://ref.ly/Jer2:24" TargetMode="External"/><Relationship Id="rId23" Type="http://schemas.openxmlformats.org/officeDocument/2006/relationships/hyperlink" Target="https://ref.ly/Jer14:6" TargetMode="External"/><Relationship Id="rId24" Type="http://schemas.openxmlformats.org/officeDocument/2006/relationships/hyperlink" Target="https://ref.ly/Hos8:9" TargetMode="External"/><Relationship Id="rId25" Type="http://schemas.openxmlformats.org/officeDocument/2006/relationships/hyperlink" Target="https://ref.ly/Sir13:19" TargetMode="External"/><Relationship Id="rId2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