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標題：瞪羚（gazelle）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2.15</w:t>
      </w:r>
      <w:r>
        <w:rPr>
          <w:lang w:val="zh_TW" w:bidi="zh_TW"/>
        </w:rPr>
        <w:t xml:space="preserve"> 標題：瞪羚（gazelle）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來：צְבִי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(音譯：tsvi)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DEU 12:15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12:22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DEU 14:5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DEU 15:22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2SA 2:18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PRO 6:5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SNG 2:9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SNG 2:17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SNG 8:14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ISA 13:14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來：צְבִיָּה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(音譯：tsviyah)</w:t>
      </w:r>
      <w:hyperlink r:id="rId25">
        <w:r>
          <w:rPr>
            <w:lang w:val="zh_TW" w:bidi="zh_TW"/>
          </w:rPr>
          <w:rPr>
            <w:color w:val="0000EE"/>
            <w:u w:val="single"/>
          </w:rPr>
          <w:t>SNG 2:7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SNG 3:5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SNG 4:5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SNG 7:4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希：δορκάς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(音譯：dorkas)</w:t>
      </w:r>
      <w:hyperlink r:id="rId29">
        <w:r>
          <w:rPr>
            <w:lang w:val="zh_TW" w:bidi="zh_TW"/>
          </w:rPr>
          <w:rPr>
            <w:color w:val="0000EE"/>
            <w:u w:val="single"/>
          </w:rPr>
          <w:t>SIR 27:20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瞪羚 (© Ikiwaner (Wikimedia Commons))</w:t>
      </w:r>
      <w:r>
        <w:rPr>
          <w:lang w:val="zh_TW" w:bidi="zh_TW"/>
        </w:rPr>
        <w:t>這幾個希伯來文和希臘文名稱可能都是瞪羚的統稱。中東地區至少有兩種瞪羚，即小鹿瞪羚（學名</w:t>
      </w:r>
      <w:r>
        <w:rPr>
          <w:i/>
          <w:lang w:val="zh_TW" w:bidi="zh_TW"/>
        </w:rPr>
        <w:t>Gazella dorcas</w:t>
      </w:r>
      <w:r>
        <w:rPr>
          <w:lang w:val="zh_TW" w:bidi="zh_TW"/>
        </w:rPr>
        <w:t xml:space="preserve"> ）和巴勒斯坦／阿拉伯瞪羚（學名</w:t>
      </w:r>
      <w:r>
        <w:rPr>
          <w:i/>
          <w:lang w:val="zh_TW" w:bidi="zh_TW"/>
        </w:rPr>
        <w:t>Gazella arabica</w:t>
      </w:r>
      <w:r>
        <w:rPr>
          <w:lang w:val="zh_TW" w:bidi="zh_TW"/>
        </w:rPr>
        <w:t xml:space="preserve"> ），現今在偏僻地區仍然能夠看到這兩種瞪羚。在亞述巴尼帕王狩獵浮雕上描繪的瞪羚無疑是黑斑羚（學名</w:t>
      </w:r>
      <w:r>
        <w:rPr>
          <w:i/>
          <w:lang w:val="zh_TW" w:bidi="zh_TW"/>
        </w:rPr>
        <w:t>Aepyceros melampus</w:t>
      </w:r>
      <w:r>
        <w:rPr>
          <w:lang w:val="zh_TW" w:bidi="zh_TW"/>
        </w:rPr>
        <w:t xml:space="preserve"> ），從角的形狀和雌性羚羊沒有角上面可以辨識出來。這表明在主前650年左右，甚至東至尼尼微都有黑斑羚出沒。</w:t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瞪羚是中小體型的平原羚羊，棲息在稀樹草原、平原和半沙漠地區。除了雌黑斑羚沒有角以外，其他雌性瞪羚都長角。上面提到的幾種瞪羚的角均呈里拉琴的形狀，長約25—50厘米（10—20英吋）。瞪羚的毛色為紅棕色，身體下部幾乎是白色，長著優雅的長腿，非常善於跳躍。瞪羚成小群生活，通常不超過30隻。雌性瞪羚一歲就達到性成熟，每年都會生下幼崽，如此之高的繁殖率保證了種群的生存。瞪羚以草、金合歡樹及其他灌木的葉子為食。</w:t>
      </w:r>
    </w:p>
    <w:p>
      <w:pPr/>
      <w:r>
        <w:rPr>
          <w:lang w:val="zh_TW" w:bidi="zh_TW"/>
        </w:rPr>
      </w:r>
      <w:r>
        <w:rPr>
          <w:lang w:val="zh_TW" w:bidi="zh_TW"/>
        </w:rPr>
        <w:t>瞪羚的繁殖群為一雄多雌形式。其他雄瞪羚在性成熟之後會被驅逐出群，形成單身雄性獸群。這些單身雄性獸群是人類和動物捕獵的主要目標，因為肉源充足，而且不會破壞繁殖鏈。在聖經時期，人們用網和陷阱捕捉瞪羚，或用弓箭射殺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瞪羚被猶太人認為是禮儀上最潔淨的狩獵動物，因為牠滿足律法關於分蹄和反芻的要求。瞪羚也是速度、優雅和美麗的象徵（希伯來文詞根意為「美麗」），同時象徵著女性的性慾和生育能力。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黑斑羚 (Pixabay)</w:t>
      </w:r>
      <w:r>
        <w:rPr>
          <w:lang w:val="zh_TW" w:bidi="zh_TW"/>
        </w:rPr>
        <w:t>如果目標語言區分動物的雌雄，則應把</w:t>
      </w:r>
      <w:r>
        <w:rPr>
          <w:i/>
          <w:lang w:val="zh_TW" w:bidi="zh_TW"/>
        </w:rPr>
        <w:t>tsvi</w:t>
      </w:r>
      <w:r>
        <w:rPr>
          <w:lang w:val="zh_TW" w:bidi="zh_TW"/>
        </w:rPr>
        <w:t xml:space="preserve"> 翻譯為雄性動物，把</w:t>
      </w:r>
      <w:r>
        <w:rPr>
          <w:i/>
          <w:lang w:val="zh_TW" w:bidi="zh_TW"/>
        </w:rPr>
        <w:t>tsviyah</w:t>
      </w:r>
      <w:r>
        <w:rPr>
          <w:lang w:val="zh_TW" w:bidi="zh_TW"/>
        </w:rPr>
        <w:t xml:space="preserve"> 翻譯為雌性動物。</w:t>
      </w:r>
    </w:p>
    <w:p>
      <w:r>
        <w:drawing>
          <wp:inline xmlns:a="http://schemas.openxmlformats.org/drawingml/2006/main" xmlns:pic="http://schemas.openxmlformats.org/drawingml/2006/picture">
            <wp:extent cx="6096000" cy="6575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575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在熟知瞪羚的東非，可以使用瞪羚的統稱或者其中一種體型較小的瞪羚的名稱，如湯氏瞪羚（學名</w:t>
      </w:r>
      <w:r>
        <w:rPr>
          <w:i/>
          <w:lang w:val="zh_TW" w:bidi="zh_TW"/>
        </w:rPr>
        <w:t>Gazella thompsonii</w:t>
      </w:r>
      <w:r>
        <w:rPr>
          <w:lang w:val="zh_TW" w:bidi="zh_TW"/>
        </w:rPr>
        <w:t xml:space="preserve"> ）。在非洲其他知道黑斑羚的地方，可以使用黑斑羚這個詞來翻譯。</w:t>
      </w:r>
    </w:p>
    <w:p>
      <w:pPr/>
      <w:r>
        <w:rPr>
          <w:lang w:val="zh_TW" w:bidi="zh_TW"/>
        </w:rPr>
      </w:r>
      <w:r>
        <w:rPr>
          <w:lang w:val="zh_TW" w:bidi="zh_TW"/>
        </w:rPr>
        <w:t>在世界其他地方，當經文指瞪羚這種動物時，可以選擇一種群居生活的小型羚羊或鹿的名稱，當經文是象徵快速、優雅或美麗時，可以選擇一種行動敏捷、體態優雅的羚羊或鹿。與前文相同，在不知道瞪羚、羚羊和鹿的地方，可以使用主要國際語言或希伯來原文詞語的音譯，但應在術語簡釋中予以說明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2:15" TargetMode="External"/><Relationship Id="rId15" Type="http://schemas.openxmlformats.org/officeDocument/2006/relationships/hyperlink" Target="https://ref.ly/Deut12:22" TargetMode="External"/><Relationship Id="rId16" Type="http://schemas.openxmlformats.org/officeDocument/2006/relationships/hyperlink" Target="https://ref.ly/Deut14:5" TargetMode="External"/><Relationship Id="rId17" Type="http://schemas.openxmlformats.org/officeDocument/2006/relationships/hyperlink" Target="https://ref.ly/Deut15:22" TargetMode="External"/><Relationship Id="rId18" Type="http://schemas.openxmlformats.org/officeDocument/2006/relationships/hyperlink" Target="https://ref.ly/2Sam2:18" TargetMode="External"/><Relationship Id="rId19" Type="http://schemas.openxmlformats.org/officeDocument/2006/relationships/hyperlink" Target="https://ref.ly/1Kgs5:3" TargetMode="External"/><Relationship Id="rId20" Type="http://schemas.openxmlformats.org/officeDocument/2006/relationships/hyperlink" Target="https://ref.ly/Prov6:5" TargetMode="External"/><Relationship Id="rId21" Type="http://schemas.openxmlformats.org/officeDocument/2006/relationships/hyperlink" Target="https://ref.ly/Song2:9" TargetMode="External"/><Relationship Id="rId22" Type="http://schemas.openxmlformats.org/officeDocument/2006/relationships/hyperlink" Target="https://ref.ly/Song2:17" TargetMode="External"/><Relationship Id="rId23" Type="http://schemas.openxmlformats.org/officeDocument/2006/relationships/hyperlink" Target="https://ref.ly/Song8:14" TargetMode="External"/><Relationship Id="rId24" Type="http://schemas.openxmlformats.org/officeDocument/2006/relationships/hyperlink" Target="https://ref.ly/Isa13:14" TargetMode="External"/><Relationship Id="rId25" Type="http://schemas.openxmlformats.org/officeDocument/2006/relationships/hyperlink" Target="https://ref.ly/Song2:7" TargetMode="External"/><Relationship Id="rId26" Type="http://schemas.openxmlformats.org/officeDocument/2006/relationships/hyperlink" Target="https://ref.ly/Song3:5" TargetMode="External"/><Relationship Id="rId27" Type="http://schemas.openxmlformats.org/officeDocument/2006/relationships/hyperlink" Target="https://ref.ly/Song4:5" TargetMode="External"/><Relationship Id="rId28" Type="http://schemas.openxmlformats.org/officeDocument/2006/relationships/hyperlink" Target="https://ref.ly/Song7:4" TargetMode="External"/><Relationship Id="rId29" Type="http://schemas.openxmlformats.org/officeDocument/2006/relationships/hyperlink" Target="https://ref.ly/Sir27:20" TargetMode="External"/><Relationship Id="rId30" Type="http://schemas.openxmlformats.org/officeDocument/2006/relationships/image" Target="media/image1.jpg"/><Relationship Id="rId31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