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Laurustinus (laurestinus)</w:t>
      </w:r>
      <w:r>
        <w:rPr>
          <w:lang w:val="en_US" w:bidi="en_US"/>
        </w:rPr>
      </w:r>
    </w:p>
    <w:p>
      <w:pPr>
        <w:pStyle w:val="Heading1"/>
      </w:pPr>
      <w:r>
        <w:rPr>
          <w:lang w:val="en_US" w:bidi="en_US"/>
        </w:rPr>
        <w:t>1.13</w:t>
      </w:r>
      <w:r>
        <w:rPr>
          <w:lang w:val="en_US" w:bidi="en_US"/>
        </w:rPr>
        <w:t xml:space="preserve"> Laurustinus (laurestinus)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תִּדְהָר</w:t>
      </w:r>
      <w:r>
        <w:rPr>
          <w:lang w:val="en_US" w:bidi="en_US"/>
        </w:rPr>
        <w:t xml:space="preserve"> </w:t>
      </w:r>
      <w:r>
        <w:rPr>
          <w:lang w:val="en_US" w:bidi="en_US"/>
        </w:rPr>
        <w:t>(tidhar)</w:t>
      </w:r>
      <w:r>
        <w:rPr>
          <w:lang w:val="en_US" w:bidi="en_US"/>
        </w:rPr>
      </w:r>
      <w:hyperlink r:id="rId14">
        <w:r>
          <w:rPr>
            <w:lang w:val="en_US" w:bidi="en_US"/>
          </w:rPr>
          <w:rPr>
            <w:color w:val="0000EE"/>
            <w:u w:val="single"/>
          </w:rPr>
          <w:t>ISA 41:19</w:t>
        </w:r>
      </w:hyperlink>
      <w:r>
        <w:rPr>
          <w:lang w:val="en_US" w:bidi="en_US"/>
        </w:rPr>
        <w:t xml:space="preserve">, </w:t>
      </w:r>
      <w:hyperlink r:id="rId15">
        <w:r>
          <w:rPr>
            <w:lang w:val="en_US" w:bidi="en_US"/>
          </w:rPr>
          <w:rPr>
            <w:color w:val="0000EE"/>
            <w:u w:val="single"/>
          </w:rPr>
          <w:t>ISA 60:13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Laurustinus flowers and leaves (Lumbar (Wikimedia Commons))</w:t>
      </w:r>
      <w:r>
        <w:rPr>
          <w:lang w:val="en_US" w:bidi="en_US"/>
        </w:rPr>
        <w:t xml:space="preserve">The identification of the Hebrew word </w:t>
      </w:r>
      <w:r>
        <w:rPr>
          <w:i/>
          <w:lang w:val="en_US" w:bidi="en_US"/>
        </w:rPr>
        <w:t>tidhar</w:t>
      </w:r>
      <w:r>
        <w:rPr>
          <w:lang w:val="en_US" w:bidi="en_US"/>
        </w:rPr>
        <w:t xml:space="preserve"> in </w:t>
      </w:r>
      <w:hyperlink r:id="rId14">
        <w:r>
          <w:rPr>
            <w:lang w:val="en_US" w:bidi="en_US"/>
          </w:rPr>
          <w:rPr>
            <w:color w:val="0000EE"/>
            <w:u w:val="single"/>
          </w:rPr>
          <w:t>ISA 41:19</w:t>
        </w:r>
      </w:hyperlink>
      <w:r>
        <w:rPr>
          <w:lang w:val="en_US" w:bidi="en_US"/>
        </w:rPr>
        <w:t xml:space="preserve"> and </w:t>
      </w:r>
      <w:hyperlink r:id="rId15">
        <w:r>
          <w:rPr>
            <w:lang w:val="en_US" w:bidi="en_US"/>
          </w:rPr>
          <w:rPr>
            <w:color w:val="0000EE"/>
            <w:u w:val="single"/>
          </w:rPr>
          <w:t>ISA 60:13</w:t>
        </w:r>
      </w:hyperlink>
      <w:r>
        <w:rPr>
          <w:lang w:val="en_US" w:bidi="en_US"/>
        </w:rPr>
        <w:t xml:space="preserve"> is controversial. </w:t>
      </w:r>
      <w:r>
        <w:rPr>
          <w:lang w:val="en_US" w:bidi="en_US"/>
        </w:rPr>
        <w:t>RSV</w:t>
      </w:r>
      <w:r>
        <w:rPr>
          <w:lang w:val="en_US" w:bidi="en_US"/>
        </w:rPr>
        <w:t xml:space="preserve"> and </w:t>
      </w:r>
      <w:r>
        <w:rPr>
          <w:lang w:val="en_US" w:bidi="en_US"/>
        </w:rPr>
        <w:t>JB</w:t>
      </w:r>
      <w:r>
        <w:rPr>
          <w:lang w:val="en_US" w:bidi="en_US"/>
        </w:rPr>
        <w:t xml:space="preserve"> both use “plane” in these verses, the only places where the word </w:t>
      </w:r>
      <w:r>
        <w:rPr>
          <w:i/>
          <w:lang w:val="en_US" w:bidi="en_US"/>
        </w:rPr>
        <w:t>tidhar</w:t>
      </w:r>
      <w:r>
        <w:rPr>
          <w:lang w:val="en_US" w:bidi="en_US"/>
        </w:rPr>
        <w:t xml:space="preserve"> occurs. Other versions have “fir” (</w:t>
      </w:r>
      <w:r>
        <w:rPr>
          <w:lang w:val="en_US" w:bidi="en_US"/>
        </w:rPr>
        <w:t>CEV</w:t>
      </w:r>
      <w:r>
        <w:rPr>
          <w:lang w:val="en_US" w:bidi="en_US"/>
        </w:rPr>
        <w:t xml:space="preserve">, </w:t>
      </w:r>
      <w:r>
        <w:rPr>
          <w:lang w:val="en_US" w:bidi="en_US"/>
        </w:rPr>
        <w:t>NIV</w:t>
      </w:r>
      <w:r>
        <w:rPr>
          <w:lang w:val="en_US" w:bidi="en_US"/>
        </w:rPr>
        <w:t xml:space="preserve">, </w:t>
      </w:r>
      <w:r>
        <w:rPr>
          <w:lang w:val="en_US" w:bidi="en_US"/>
        </w:rPr>
        <w:t>NLT</w:t>
      </w:r>
      <w:r>
        <w:rPr>
          <w:lang w:val="en_US" w:bidi="en_US"/>
        </w:rPr>
        <w:t xml:space="preserve">, </w:t>
      </w:r>
      <w:r>
        <w:rPr>
          <w:lang w:val="en_US" w:bidi="en_US"/>
        </w:rPr>
        <w:t>REB</w:t>
      </w:r>
      <w:r>
        <w:rPr>
          <w:lang w:val="en_US" w:bidi="en_US"/>
        </w:rPr>
        <w:t xml:space="preserve">, </w:t>
      </w:r>
      <w:r>
        <w:rPr>
          <w:lang w:val="en_US" w:bidi="en_US"/>
        </w:rPr>
        <w:t>GW</w:t>
      </w:r>
      <w:r>
        <w:rPr>
          <w:lang w:val="en_US" w:bidi="en_US"/>
        </w:rPr>
        <w:t>), “box” (</w:t>
      </w:r>
      <w:r>
        <w:rPr>
          <w:lang w:val="en_US" w:bidi="en_US"/>
        </w:rPr>
        <w:t>NJPSV</w:t>
      </w:r>
      <w:r>
        <w:rPr>
          <w:lang w:val="en_US" w:bidi="en_US"/>
        </w:rPr>
        <w:t>), and “pine” (</w:t>
      </w:r>
      <w:r>
        <w:rPr>
          <w:lang w:val="en_US" w:bidi="en_US"/>
        </w:rPr>
        <w:t>KJV</w:t>
      </w:r>
      <w:r>
        <w:rPr>
          <w:lang w:val="en_US" w:bidi="en_US"/>
        </w:rPr>
        <w:t xml:space="preserve">, supported by Moldenke). Zohary’s identification of </w:t>
      </w:r>
      <w:r>
        <w:rPr>
          <w:i/>
          <w:lang w:val="en_US" w:bidi="en_US"/>
        </w:rPr>
        <w:t>tidhar</w:t>
      </w:r>
      <w:r>
        <w:rPr>
          <w:lang w:val="en_US" w:bidi="en_US"/>
        </w:rPr>
        <w:t xml:space="preserve"> as the Laurustinus </w:t>
      </w:r>
      <w:r>
        <w:rPr>
          <w:i/>
          <w:lang w:val="en_US" w:bidi="en_US"/>
        </w:rPr>
        <w:t>Viburnum tinus</w:t>
      </w:r>
      <w:r>
        <w:rPr>
          <w:lang w:val="en_US" w:bidi="en_US"/>
        </w:rPr>
        <w:t xml:space="preserve"> is based on the Aramaic translation, </w:t>
      </w:r>
      <w:r>
        <w:rPr>
          <w:i/>
          <w:lang w:val="en_US" w:bidi="en_US"/>
        </w:rPr>
        <w:t>Targum Jonathan</w:t>
      </w:r>
      <w:r>
        <w:rPr>
          <w:lang w:val="en_US" w:bidi="en_US"/>
        </w:rPr>
        <w:t xml:space="preserve">, which translates </w:t>
      </w:r>
      <w:r>
        <w:rPr>
          <w:i/>
          <w:lang w:val="en_US" w:bidi="en_US"/>
        </w:rPr>
        <w:t>tidhar</w:t>
      </w:r>
      <w:r>
        <w:rPr>
          <w:lang w:val="en_US" w:bidi="en_US"/>
        </w:rPr>
        <w:t xml:space="preserve"> as </w:t>
      </w:r>
      <w:r>
        <w:rPr>
          <w:i/>
          <w:lang w:val="en_US" w:bidi="en_US"/>
        </w:rPr>
        <w:t>mornian</w:t>
      </w:r>
      <w:r>
        <w:rPr>
          <w:lang w:val="en_US" w:bidi="en_US"/>
        </w:rPr>
        <w:t xml:space="preserve">, a cognate with </w:t>
      </w:r>
      <w:r>
        <w:rPr>
          <w:i/>
          <w:lang w:val="en_US" w:bidi="en_US"/>
        </w:rPr>
        <w:t>murran</w:t>
      </w:r>
      <w:r>
        <w:rPr>
          <w:lang w:val="en_US" w:bidi="en_US"/>
        </w:rPr>
        <w:t xml:space="preserve">, which is the Arabic name for laurustinus. Hepper agrees with Zohary. FFB (following Moldenke) cautiously identifies </w:t>
      </w:r>
      <w:r>
        <w:rPr>
          <w:i/>
          <w:lang w:val="en_US" w:bidi="en_US"/>
        </w:rPr>
        <w:t>tidhar</w:t>
      </w:r>
      <w:r>
        <w:rPr>
          <w:lang w:val="en_US" w:bidi="en_US"/>
        </w:rPr>
        <w:t xml:space="preserve"> as the Brutian (or Turkish) Pine </w:t>
      </w:r>
      <w:r>
        <w:rPr>
          <w:i/>
          <w:lang w:val="en_US" w:bidi="en_US"/>
        </w:rPr>
        <w:t>Pinus brutia</w:t>
      </w:r>
      <w:r>
        <w:rPr>
          <w:lang w:val="en_US" w:bidi="en_US"/>
        </w:rPr>
        <w:t xml:space="preserve">. </w:t>
      </w:r>
      <w:r>
        <w:rPr>
          <w:lang w:val="en_US" w:bidi="en_US"/>
        </w:rPr>
        <w:t>BDB</w:t>
      </w:r>
      <w:r>
        <w:rPr>
          <w:lang w:val="en_US" w:bidi="en_US"/>
        </w:rPr>
        <w:t xml:space="preserve"> and some others follow the Vulgate in translating this as “elm,” noting that the Syriac name for the common elm is “dadar.” The most recent evidence supports the laurustinus. The alternative spelling “laurestinus” is less common.</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5375349"/>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5375349"/>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laurustinus is a sturdy evergreen shrub that reaches 3.5 meters (12 feet) in height, with dark green, shiny leaves, white flowers, and poisonous purple berries.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laurustinus belongs to a family of trees that live in temperate and warm climates, including Europe, Asia, and North America, but close relatives of laurustinus are found only in the Mediterranean area. Since “laurustinus” is not a well-known name, and rather bulky for transliteration, it is perhaps better to transliterate from a major version or from Hebrew </w:t>
      </w:r>
      <w:r>
        <w:rPr>
          <w:i/>
          <w:lang w:val="en_US" w:bidi="en_US"/>
        </w:rPr>
        <w:t>tidhar</w:t>
      </w:r>
      <w:r>
        <w:rPr>
          <w:lang w:val="en_US" w:bidi="en_US"/>
        </w:rPr>
        <w:t xml:space="preserve"> or Arabic </w:t>
      </w:r>
      <w:r>
        <w:rPr>
          <w:i/>
          <w:lang w:val="en_US" w:bidi="en_US"/>
        </w:rPr>
        <w:t>murran</w:t>
      </w:r>
      <w:r>
        <w:rPr>
          <w:lang w:val="en_US" w:bidi="en_US"/>
        </w:rPr>
        <w:t xml:space="preserve">. However, the treatment of </w:t>
      </w:r>
      <w:r>
        <w:rPr>
          <w:i/>
          <w:lang w:val="en_US" w:bidi="en_US"/>
        </w:rPr>
        <w:t>tidhar</w:t>
      </w:r>
      <w:r>
        <w:rPr>
          <w:lang w:val="en_US" w:bidi="en_US"/>
        </w:rPr>
        <w:t xml:space="preserve"> may depend on what the translator has done with the other words for trees in </w:t>
      </w:r>
      <w:hyperlink r:id="rId14">
        <w:r>
          <w:rPr>
            <w:lang w:val="en_US" w:bidi="en_US"/>
          </w:rPr>
          <w:rPr>
            <w:color w:val="0000EE"/>
            <w:u w:val="single"/>
          </w:rPr>
          <w:t>ISA 41:19</w:t>
        </w:r>
      </w:hyperlink>
      <w:r>
        <w:rPr>
          <w:lang w:val="en_US" w:bidi="en_US"/>
        </w:rPr>
        <w:t xml:space="preserve"> and </w:t>
      </w:r>
      <w:hyperlink r:id="rId15">
        <w:r>
          <w:rPr>
            <w:lang w:val="en_US" w:bidi="en_US"/>
          </w:rPr>
          <w:rPr>
            <w:color w:val="0000EE"/>
            <w:u w:val="single"/>
          </w:rPr>
          <w:t>ISA 60:13</w:t>
        </w:r>
      </w:hyperlink>
      <w:r>
        <w:rPr>
          <w:lang w:val="en_US" w:bidi="en_US"/>
        </w:rPr>
        <w:t xml:space="preserve">. If </w:t>
      </w:r>
      <w:r>
        <w:rPr>
          <w:i/>
          <w:lang w:val="en_US" w:bidi="en_US"/>
        </w:rPr>
        <w:t>berosh</w:t>
      </w:r>
      <w:r>
        <w:rPr>
          <w:lang w:val="en_US" w:bidi="en_US"/>
        </w:rPr>
        <w:t xml:space="preserve"> is translated or transliterated as “fir,” then a different word (for example, “plane,” following </w:t>
      </w:r>
      <w:r>
        <w:rPr>
          <w:lang w:val="en_US" w:bidi="en_US"/>
        </w:rPr>
        <w:t>RSV</w:t>
      </w:r>
      <w:r>
        <w:rPr>
          <w:lang w:val="en_US" w:bidi="en_US"/>
        </w:rPr>
        <w:t xml:space="preserve"> and </w:t>
      </w:r>
      <w:r>
        <w:rPr>
          <w:lang w:val="en_US" w:bidi="en_US"/>
        </w:rPr>
        <w:t>JB</w:t>
      </w:r>
      <w:r>
        <w:rPr>
          <w:lang w:val="en_US" w:bidi="en_US"/>
        </w:rPr>
        <w:t xml:space="preserve">) should be used for </w:t>
      </w:r>
      <w:r>
        <w:rPr>
          <w:i/>
          <w:lang w:val="en_US" w:bidi="en_US"/>
        </w:rPr>
        <w:t>tidhar</w:t>
      </w:r>
      <w:r>
        <w:rPr>
          <w:lang w:val="en_US" w:bidi="en_US"/>
        </w:rPr>
        <w:t xml:space="preserve">. In a study Bible “laurustinus” could be cited as a probable identity of </w:t>
      </w:r>
      <w:r>
        <w:rPr>
          <w:i/>
          <w:lang w:val="en_US" w:bidi="en_US"/>
        </w:rPr>
        <w:t>tidhar</w:t>
      </w:r>
      <w:r>
        <w:rPr>
          <w:lang w:val="en_US" w:bidi="en_US"/>
        </w:rPr>
        <w:t>, although “pine” runs a close second.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41:19" TargetMode="External"/><Relationship Id="rId15" Type="http://schemas.openxmlformats.org/officeDocument/2006/relationships/hyperlink" Target="https://ref.ly/Isa60:13" TargetMode="External"/><Relationship Id="rId16"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