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Deuterocanon/Apocrypha</w:t>
      </w:r>
      <w:r>
        <w:rPr>
          <w:lang w:val="en_US" w:bidi="en_US"/>
        </w:rPr>
      </w:r>
    </w:p>
    <w:p>
      <w:pPr>
        <w:pStyle w:val="Heading1"/>
      </w:pPr>
      <w:r>
        <w:rPr>
          <w:lang w:val="en_US" w:bidi="en_US"/>
        </w:rPr>
        <w:t>0.3</w:t>
      </w:r>
      <w:r>
        <w:rPr>
          <w:lang w:val="en_US" w:bidi="en_US"/>
        </w:rPr>
        <w:t xml:space="preserve"> Deuterocanon/Apocrypha</w:t>
      </w:r>
      <w:r>
        <w:rPr>
          <w:lang w:val="en_US" w:bidi="en_US"/>
        </w:rPr>
      </w:r>
      <w:r>
        <w:rPr>
          <w:lang w:val="en_US" w:bidi="en_US"/>
        </w:rPr>
      </w:r>
    </w:p>
    <w:p>
      <w:pPr/>
      <w:r>
        <w:rPr>
          <w:lang w:val="en_US" w:bidi="en_US"/>
        </w:rPr>
      </w:r>
      <w:r>
        <w:rPr>
          <w:lang w:val="en_US" w:bidi="en_US"/>
        </w:rPr>
        <w:t>The United Bible Societies cooperate in translation projects with all churches, where possible. The majority of Christians in the world belong to churches that recognize as Holy Scripture those writings known by some as the Deuterocanon and by others as the Apocrypha. These books (their number differs between Catholic and Orthodox churches) have been included in the listings and discussions of this Handbook. In some cases they introduce plants that are not mentioned in the sixty-six books of the Protocanon. Where a Greek word appears both in the New Testament and the Deuterocanon, the New Testament references are given first, followed by the deuterocanonical references in square brackets.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