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Oak</w:t>
      </w:r>
      <w:r>
        <w:rPr>
          <w:lang w:val="en_US" w:bidi="en_US"/>
        </w:rPr>
      </w:r>
    </w:p>
    <w:p>
      <w:pPr>
        <w:pStyle w:val="Heading1"/>
      </w:pPr>
      <w:r>
        <w:rPr>
          <w:lang w:val="en_US" w:bidi="en_US"/>
        </w:rPr>
        <w:t>1.16</w:t>
      </w:r>
      <w:r>
        <w:rPr>
          <w:lang w:val="en_US" w:bidi="en_US"/>
        </w:rPr>
        <w:t xml:space="preserve"> Oak</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אֵלוֹן</w:t>
      </w:r>
      <w:r>
        <w:rPr>
          <w:lang w:val="en_US" w:bidi="en_US"/>
        </w:rPr>
        <w:t xml:space="preserve"> </w:t>
      </w:r>
      <w:r>
        <w:rPr>
          <w:lang w:val="en_US" w:bidi="en_US"/>
        </w:rPr>
        <w:t>(’elon)</w:t>
      </w:r>
      <w:r>
        <w:rPr>
          <w:lang w:val="en_US" w:bidi="en_US"/>
        </w:rPr>
      </w:r>
      <w:hyperlink r:id="rId14">
        <w:r>
          <w:rPr>
            <w:lang w:val="en_US" w:bidi="en_US"/>
          </w:rPr>
          <w:rPr>
            <w:color w:val="0000EE"/>
            <w:u w:val="single"/>
          </w:rPr>
          <w:t>GEN 12:6</w:t>
        </w:r>
      </w:hyperlink>
      <w:r>
        <w:rPr>
          <w:lang w:val="en_US" w:bidi="en_US"/>
        </w:rPr>
        <w:t xml:space="preserve">, </w:t>
      </w:r>
      <w:hyperlink r:id="rId15">
        <w:r>
          <w:rPr>
            <w:lang w:val="en_US" w:bidi="en_US"/>
          </w:rPr>
          <w:rPr>
            <w:color w:val="0000EE"/>
            <w:u w:val="single"/>
          </w:rPr>
          <w:t>GEN 13:18</w:t>
        </w:r>
      </w:hyperlink>
      <w:r>
        <w:rPr>
          <w:lang w:val="en_US" w:bidi="en_US"/>
        </w:rPr>
        <w:t xml:space="preserve">, </w:t>
      </w:r>
      <w:hyperlink r:id="rId16">
        <w:r>
          <w:rPr>
            <w:lang w:val="en_US" w:bidi="en_US"/>
          </w:rPr>
          <w:rPr>
            <w:color w:val="0000EE"/>
            <w:u w:val="single"/>
          </w:rPr>
          <w:t>GEN 14:13</w:t>
        </w:r>
      </w:hyperlink>
      <w:r>
        <w:rPr>
          <w:lang w:val="en_US" w:bidi="en_US"/>
        </w:rPr>
        <w:t xml:space="preserve">, </w:t>
      </w:r>
      <w:hyperlink r:id="rId17">
        <w:r>
          <w:rPr>
            <w:lang w:val="en_US" w:bidi="en_US"/>
          </w:rPr>
          <w:rPr>
            <w:color w:val="0000EE"/>
            <w:u w:val="single"/>
          </w:rPr>
          <w:t>GEN 18:1</w:t>
        </w:r>
      </w:hyperlink>
      <w:r>
        <w:rPr>
          <w:lang w:val="en_US" w:bidi="en_US"/>
        </w:rPr>
        <w:t xml:space="preserve">, </w:t>
      </w:r>
      <w:hyperlink r:id="rId18">
        <w:r>
          <w:rPr>
            <w:lang w:val="en_US" w:bidi="en_US"/>
          </w:rPr>
          <w:rPr>
            <w:color w:val="0000EE"/>
            <w:u w:val="single"/>
          </w:rPr>
          <w:t>DEU 11:30</w:t>
        </w:r>
      </w:hyperlink>
      <w:r>
        <w:rPr>
          <w:lang w:val="en_US" w:bidi="en_US"/>
        </w:rPr>
        <w:t xml:space="preserve">, </w:t>
      </w:r>
      <w:hyperlink r:id="rId19">
        <w:r>
          <w:rPr>
            <w:lang w:val="en_US" w:bidi="en_US"/>
          </w:rPr>
          <w:rPr>
            <w:color w:val="0000EE"/>
            <w:u w:val="single"/>
          </w:rPr>
          <w:t>JOS 19:33</w:t>
        </w:r>
      </w:hyperlink>
      <w:r>
        <w:rPr>
          <w:lang w:val="en_US" w:bidi="en_US"/>
        </w:rPr>
        <w:t xml:space="preserve">, </w:t>
      </w:r>
      <w:hyperlink r:id="rId20">
        <w:r>
          <w:rPr>
            <w:lang w:val="en_US" w:bidi="en_US"/>
          </w:rPr>
          <w:rPr>
            <w:color w:val="0000EE"/>
            <w:u w:val="single"/>
          </w:rPr>
          <w:t>JDG 4:11</w:t>
        </w:r>
      </w:hyperlink>
      <w:r>
        <w:rPr>
          <w:lang w:val="en_US" w:bidi="en_US"/>
        </w:rPr>
        <w:t xml:space="preserve">, </w:t>
      </w:r>
      <w:hyperlink r:id="rId21">
        <w:r>
          <w:rPr>
            <w:lang w:val="en_US" w:bidi="en_US"/>
          </w:rPr>
          <w:rPr>
            <w:color w:val="0000EE"/>
            <w:u w:val="single"/>
          </w:rPr>
          <w:t>JDG 9:6</w:t>
        </w:r>
      </w:hyperlink>
      <w:r>
        <w:rPr>
          <w:lang w:val="en_US" w:bidi="en_US"/>
        </w:rPr>
        <w:t xml:space="preserve">, </w:t>
      </w:r>
      <w:hyperlink r:id="rId22">
        <w:r>
          <w:rPr>
            <w:lang w:val="en_US" w:bidi="en_US"/>
          </w:rPr>
          <w:rPr>
            <w:color w:val="0000EE"/>
            <w:u w:val="single"/>
          </w:rPr>
          <w:t>JDG 9:37</w:t>
        </w:r>
      </w:hyperlink>
      <w:r>
        <w:rPr>
          <w:lang w:val="en_US" w:bidi="en_US"/>
        </w:rPr>
        <w:t xml:space="preserve">, </w:t>
      </w:r>
      <w:hyperlink r:id="rId23">
        <w:r>
          <w:rPr>
            <w:lang w:val="en_US" w:bidi="en_US"/>
          </w:rPr>
          <w:rPr>
            <w:color w:val="0000EE"/>
            <w:u w:val="single"/>
          </w:rPr>
          <w:t>1SA 10:3</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אַלּוֹן</w:t>
      </w:r>
      <w:r>
        <w:rPr>
          <w:lang w:val="en_US" w:bidi="en_US"/>
        </w:rPr>
        <w:t xml:space="preserve"> </w:t>
      </w:r>
      <w:r>
        <w:rPr>
          <w:lang w:val="en_US" w:bidi="en_US"/>
        </w:rPr>
        <w:t>(’allon)</w:t>
      </w:r>
      <w:r>
        <w:rPr>
          <w:lang w:val="en_US" w:bidi="en_US"/>
        </w:rPr>
      </w:r>
      <w:hyperlink r:id="rId24">
        <w:r>
          <w:rPr>
            <w:lang w:val="en_US" w:bidi="en_US"/>
          </w:rPr>
          <w:rPr>
            <w:color w:val="0000EE"/>
            <w:u w:val="single"/>
          </w:rPr>
          <w:t>GEN 35:8</w:t>
        </w:r>
      </w:hyperlink>
      <w:r>
        <w:rPr>
          <w:lang w:val="en_US" w:bidi="en_US"/>
        </w:rPr>
        <w:t xml:space="preserve">, </w:t>
      </w:r>
      <w:hyperlink r:id="rId24">
        <w:r>
          <w:rPr>
            <w:lang w:val="en_US" w:bidi="en_US"/>
          </w:rPr>
          <w:rPr>
            <w:color w:val="0000EE"/>
            <w:u w:val="single"/>
          </w:rPr>
          <w:t>GEN 35:8</w:t>
        </w:r>
      </w:hyperlink>
      <w:r>
        <w:rPr>
          <w:lang w:val="en_US" w:bidi="en_US"/>
        </w:rPr>
        <w:t xml:space="preserve">, </w:t>
      </w:r>
      <w:hyperlink r:id="rId25">
        <w:r>
          <w:rPr>
            <w:lang w:val="en_US" w:bidi="en_US"/>
          </w:rPr>
          <w:rPr>
            <w:color w:val="0000EE"/>
            <w:u w:val="single"/>
          </w:rPr>
          <w:t>ISA 2:13</w:t>
        </w:r>
      </w:hyperlink>
      <w:r>
        <w:rPr>
          <w:lang w:val="en_US" w:bidi="en_US"/>
        </w:rPr>
        <w:t xml:space="preserve">, </w:t>
      </w:r>
      <w:hyperlink r:id="rId26">
        <w:r>
          <w:rPr>
            <w:lang w:val="en_US" w:bidi="en_US"/>
          </w:rPr>
          <w:rPr>
            <w:color w:val="0000EE"/>
            <w:u w:val="single"/>
          </w:rPr>
          <w:t>ISA 6:13</w:t>
        </w:r>
      </w:hyperlink>
      <w:r>
        <w:rPr>
          <w:lang w:val="en_US" w:bidi="en_US"/>
        </w:rPr>
        <w:t xml:space="preserve">, </w:t>
      </w:r>
      <w:hyperlink r:id="rId27">
        <w:r>
          <w:rPr>
            <w:lang w:val="en_US" w:bidi="en_US"/>
          </w:rPr>
          <w:rPr>
            <w:color w:val="0000EE"/>
            <w:u w:val="single"/>
          </w:rPr>
          <w:t>ISA 44:14</w:t>
        </w:r>
      </w:hyperlink>
      <w:r>
        <w:rPr>
          <w:lang w:val="en_US" w:bidi="en_US"/>
        </w:rPr>
        <w:t xml:space="preserve">, </w:t>
      </w:r>
      <w:hyperlink r:id="rId28">
        <w:r>
          <w:rPr>
            <w:lang w:val="en_US" w:bidi="en_US"/>
          </w:rPr>
          <w:rPr>
            <w:color w:val="0000EE"/>
            <w:u w:val="single"/>
          </w:rPr>
          <w:t>EZK 27:6</w:t>
        </w:r>
      </w:hyperlink>
      <w:r>
        <w:rPr>
          <w:lang w:val="en_US" w:bidi="en_US"/>
        </w:rPr>
        <w:t xml:space="preserve">, </w:t>
      </w:r>
      <w:hyperlink r:id="rId29">
        <w:r>
          <w:rPr>
            <w:lang w:val="en_US" w:bidi="en_US"/>
          </w:rPr>
          <w:rPr>
            <w:color w:val="0000EE"/>
            <w:u w:val="single"/>
          </w:rPr>
          <w:t>HOS 4:13</w:t>
        </w:r>
      </w:hyperlink>
      <w:r>
        <w:rPr>
          <w:lang w:val="en_US" w:bidi="en_US"/>
        </w:rPr>
        <w:t xml:space="preserve">, </w:t>
      </w:r>
      <w:hyperlink r:id="rId30">
        <w:r>
          <w:rPr>
            <w:lang w:val="en_US" w:bidi="en_US"/>
          </w:rPr>
          <w:rPr>
            <w:color w:val="0000EE"/>
            <w:u w:val="single"/>
          </w:rPr>
          <w:t>AMO 2:9</w:t>
        </w:r>
      </w:hyperlink>
      <w:r>
        <w:rPr>
          <w:lang w:val="en_US" w:bidi="en_US"/>
        </w:rPr>
        <w:t xml:space="preserve">, </w:t>
      </w:r>
      <w:hyperlink r:id="rId31">
        <w:r>
          <w:rPr>
            <w:lang w:val="en_US" w:bidi="en_US"/>
          </w:rPr>
          <w:rPr>
            <w:color w:val="0000EE"/>
            <w:u w:val="single"/>
          </w:rPr>
          <w:t>ZEC 11:2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Oak tree (Ray Pritz (UBS))</w:t>
      </w:r>
      <w:r>
        <w:rPr>
          <w:lang w:val="en_US" w:bidi="en_US"/>
        </w:rPr>
        <w:t xml:space="preserve">Three species of oak are found in Israel, the main ones being the Tabor oak and the Kermes (or common) oak. Both go by the name </w:t>
      </w:r>
      <w:r>
        <w:rPr>
          <w:i/>
          <w:lang w:val="en_US" w:bidi="en_US"/>
        </w:rPr>
        <w:t>’elon</w:t>
      </w:r>
      <w:r>
        <w:rPr>
          <w:lang w:val="en_US" w:bidi="en_US"/>
        </w:rPr>
        <w:t xml:space="preserve"> or </w:t>
      </w:r>
      <w:r>
        <w:rPr>
          <w:i/>
          <w:lang w:val="en_US" w:bidi="en_US"/>
        </w:rPr>
        <w:t>’allon</w:t>
      </w:r>
      <w:r>
        <w:rPr>
          <w:lang w:val="en_US" w:bidi="en_US"/>
        </w:rPr>
        <w:t xml:space="preserve"> in Hebrew. The similarity to the Hebrew word </w:t>
      </w:r>
      <w:r>
        <w:rPr>
          <w:i/>
          <w:lang w:val="en_US" w:bidi="en_US"/>
        </w:rPr>
        <w:t>’el</w:t>
      </w:r>
      <w:r>
        <w:rPr>
          <w:lang w:val="en_US" w:bidi="en_US"/>
        </w:rPr>
        <w:t xml:space="preserve"> (“god”) is significant, since these trees have long been associated with worship and with burial. Since the Tabor oak is the biggest, it is likely that </w:t>
      </w:r>
      <w:r>
        <w:rPr>
          <w:i/>
          <w:lang w:val="en_US" w:bidi="en_US"/>
        </w:rPr>
        <w:t>’elon</w:t>
      </w:r>
      <w:r>
        <w:rPr>
          <w:lang w:val="en_US" w:bidi="en_US"/>
        </w:rPr>
        <w:t xml:space="preserve"> and </w:t>
      </w:r>
      <w:r>
        <w:rPr>
          <w:i/>
          <w:lang w:val="en_US" w:bidi="en_US"/>
        </w:rPr>
        <w:t>’allon</w:t>
      </w:r>
      <w:r>
        <w:rPr>
          <w:lang w:val="en_US" w:bidi="en_US"/>
        </w:rPr>
        <w:t xml:space="preserve"> most often refer to that one. English versions have sometimes mistakenly translated the Hebrew word </w:t>
      </w:r>
      <w:r>
        <w:rPr>
          <w:i/>
          <w:lang w:val="en_US" w:bidi="en_US"/>
        </w:rPr>
        <w:t>’elah</w:t>
      </w:r>
      <w:r>
        <w:rPr>
          <w:lang w:val="en_US" w:bidi="en_US"/>
        </w:rPr>
        <w:t xml:space="preserve"> (“terebinth”) as “oak.”</w:t>
      </w:r>
      <w:r>
        <w:rPr>
          <w:lang w:val="en_US" w:bidi="en_US"/>
        </w:rPr>
      </w:r>
    </w:p>
    <w:p>
      <w:r>
        <w:drawing>
          <wp:inline xmlns:a="http://schemas.openxmlformats.org/drawingml/2006/main" xmlns:pic="http://schemas.openxmlformats.org/drawingml/2006/picture">
            <wp:extent cx="2438400" cy="1828800"/>
            <wp:docPr id="1" name="Picture 1"/>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2438400" cy="1828800"/>
                    </a:xfrm>
                    <a:prstGeom prst="rect"/>
                  </pic:spPr>
                </pic:pic>
              </a:graphicData>
            </a:graphic>
          </wp:inline>
        </w:drawing>
      </w:r>
    </w:p>
    <w:p>
      <w:pPr/>
      <w:r>
        <w:rPr>
          <w:lang w:val="en_US" w:bidi="en_US"/>
        </w:rPr>
      </w:r>
      <w:r>
        <w:rPr>
          <w:lang w:val="en_US" w:bidi="en_US"/>
        </w:rPr>
        <w:t>According to Hepper, forests of Kermes oak (</w:t>
      </w:r>
      <w:r>
        <w:rPr>
          <w:i/>
          <w:lang w:val="en_US" w:bidi="en_US"/>
        </w:rPr>
        <w:t>Quercus calliprinos</w:t>
      </w:r>
      <w:r>
        <w:rPr>
          <w:lang w:val="en_US" w:bidi="en_US"/>
        </w:rPr>
        <w:t xml:space="preserve"> or </w:t>
      </w:r>
      <w:r>
        <w:rPr>
          <w:i/>
          <w:lang w:val="en_US" w:bidi="en_US"/>
        </w:rPr>
        <w:t>Quercus coccifera</w:t>
      </w:r>
      <w:r>
        <w:rPr>
          <w:lang w:val="en_US" w:bidi="en_US"/>
        </w:rPr>
        <w:t>) covered the hill country of Israel from Carmel to Samaria in biblical times. The Kermes oak forest is the most familiar and important type of vegetation in Israel.</w:t>
      </w:r>
      <w:r>
        <w:rPr>
          <w:lang w:val="en_US" w:bidi="en_US"/>
        </w:rPr>
      </w:r>
    </w:p>
    <w:p>
      <w:pPr/>
      <w:r>
        <w:rPr>
          <w:lang w:val="en_US" w:bidi="en_US"/>
        </w:rPr>
      </w:r>
      <w:r>
        <w:rPr>
          <w:lang w:val="en_US" w:bidi="en_US"/>
        </w:rPr>
        <w:t xml:space="preserve">The Tabor Oak </w:t>
      </w:r>
      <w:r>
        <w:rPr>
          <w:i/>
          <w:lang w:val="en_US" w:bidi="en_US"/>
        </w:rPr>
        <w:t>Quercus macrolepsis</w:t>
      </w:r>
      <w:r>
        <w:rPr>
          <w:lang w:val="en_US" w:bidi="en_US"/>
        </w:rPr>
        <w:t xml:space="preserve"> (= </w:t>
      </w:r>
      <w:r>
        <w:rPr>
          <w:i/>
          <w:lang w:val="en_US" w:bidi="en_US"/>
        </w:rPr>
        <w:t>Quercus aegilops</w:t>
      </w:r>
      <w:r>
        <w:rPr>
          <w:lang w:val="en_US" w:bidi="en_US"/>
        </w:rPr>
        <w:t xml:space="preserve"> = </w:t>
      </w:r>
      <w:r>
        <w:rPr>
          <w:i/>
          <w:lang w:val="en_US" w:bidi="en_US"/>
        </w:rPr>
        <w:t>Quercus ithaburensis</w:t>
      </w:r>
      <w:r>
        <w:rPr>
          <w:lang w:val="en_US" w:bidi="en_US"/>
        </w:rPr>
        <w:t xml:space="preserve"> = Valonea oak in Israel) apparently replaced the original common oak during the Arab period (800–1400 A.D.), but has itself been nearly destroyed in more recent times by the efforts of charcoal makers, limestone burners, and the Turkish railway. Tabor oaks are deciduous and are found mostly in Carmel.</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Acorns (Giancarlo Dessì (Wikimedia Commons))</w:t>
      </w:r>
      <w:r>
        <w:rPr>
          <w:lang w:val="en_US" w:bidi="en_US"/>
        </w:rPr>
        <w:t>The large Tabor oak reaches a height of 25 meters (82 feet), branching at around 5.5 meters (18 feet). The Kermes oak is more like a large shrub, normally branching at ground level. The Tabor oak loses its leaves every winter; the Kermes oak is evergreen and prickly.</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876800"/>
            <wp:docPr id="2" name="Picture 2"/>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6096000" cy="4876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 xml:space="preserve">Oaks were used to mark grave sites (see </w:t>
      </w:r>
      <w:hyperlink r:id="rId24">
        <w:r>
          <w:rPr>
            <w:lang w:val="en_US" w:bidi="en_US"/>
          </w:rPr>
          <w:rPr>
            <w:color w:val="0000EE"/>
            <w:u w:val="single"/>
          </w:rPr>
          <w:t>GEN 35:8</w:t>
        </w:r>
      </w:hyperlink>
      <w:r>
        <w:rPr>
          <w:lang w:val="en_US" w:bidi="en_US"/>
        </w:rPr>
        <w:t xml:space="preserve">), and it is possible that the references to “oak of Moreh” or “oaks of Mamre” may hint at burial sites of famous people. They were probably also important in divination, if the reference in </w:t>
      </w:r>
      <w:hyperlink r:id="rId22">
        <w:r>
          <w:rPr>
            <w:lang w:val="en_US" w:bidi="en_US"/>
          </w:rPr>
          <w:rPr>
            <w:color w:val="0000EE"/>
            <w:u w:val="single"/>
          </w:rPr>
          <w:t>JDG 9:37</w:t>
        </w:r>
      </w:hyperlink>
      <w:r>
        <w:rPr>
          <w:lang w:val="en_US" w:bidi="en_US"/>
        </w:rPr>
        <w:t xml:space="preserve"> to a “Diviners’ Oak” can be taken as typical. References to people named Allon (</w:t>
      </w:r>
      <w:hyperlink r:id="rId34">
        <w:r>
          <w:rPr>
            <w:lang w:val="en_US" w:bidi="en_US"/>
          </w:rPr>
          <w:rPr>
            <w:color w:val="0000EE"/>
            <w:u w:val="single"/>
          </w:rPr>
          <w:t>1CH 4:37</w:t>
        </w:r>
      </w:hyperlink>
      <w:r>
        <w:rPr>
          <w:lang w:val="en_US" w:bidi="en_US"/>
        </w:rPr>
        <w:t>) or Elon (</w:t>
      </w:r>
      <w:hyperlink r:id="rId35">
        <w:r>
          <w:rPr>
            <w:lang w:val="en_US" w:bidi="en_US"/>
          </w:rPr>
          <w:rPr>
            <w:color w:val="0000EE"/>
            <w:u w:val="single"/>
          </w:rPr>
          <w:t>GEN 46:14</w:t>
        </w:r>
      </w:hyperlink>
      <w:r>
        <w:rPr>
          <w:lang w:val="en_US" w:bidi="en_US"/>
        </w:rPr>
        <w:t xml:space="preserve">; </w:t>
      </w:r>
      <w:hyperlink r:id="rId36">
        <w:r>
          <w:rPr>
            <w:lang w:val="en_US" w:bidi="en_US"/>
          </w:rPr>
          <w:rPr>
            <w:color w:val="0000EE"/>
            <w:u w:val="single"/>
          </w:rPr>
          <w:t>NUM 26:26</w:t>
        </w:r>
      </w:hyperlink>
      <w:r>
        <w:rPr>
          <w:lang w:val="en_US" w:bidi="en_US"/>
        </w:rPr>
        <w:t xml:space="preserve">; </w:t>
      </w:r>
      <w:hyperlink r:id="rId37">
        <w:r>
          <w:rPr>
            <w:lang w:val="en_US" w:bidi="en_US"/>
          </w:rPr>
          <w:rPr>
            <w:color w:val="0000EE"/>
            <w:u w:val="single"/>
          </w:rPr>
          <w:t>JDG 12:12</w:t>
        </w:r>
      </w:hyperlink>
      <w:r>
        <w:rPr>
          <w:lang w:val="en_US" w:bidi="en_US"/>
        </w:rPr>
        <w:t>) may suggest that the oak was a symbol of strength or beauty, or both.</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Oaks grow mainly in temperate areas (Europe, North America, North Asia, and Japan) and the Mediterranean area, including North Africa. Translators in tropical areas will not have a local variety as an option. In historical contexts, therefore, it will be necessary to transliterate from a major language. In poetic contexts such as Psalms, Proverbs, and the prophets, the oak typically represents a large and very strong tree, and a local species with those characteristics can be considered.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12:6" TargetMode="External"/><Relationship Id="rId15" Type="http://schemas.openxmlformats.org/officeDocument/2006/relationships/hyperlink" Target="https://ref.ly/Gen13:18" TargetMode="External"/><Relationship Id="rId16" Type="http://schemas.openxmlformats.org/officeDocument/2006/relationships/hyperlink" Target="https://ref.ly/Gen14:13" TargetMode="External"/><Relationship Id="rId17" Type="http://schemas.openxmlformats.org/officeDocument/2006/relationships/hyperlink" Target="https://ref.ly/Gen18:1" TargetMode="External"/><Relationship Id="rId18" Type="http://schemas.openxmlformats.org/officeDocument/2006/relationships/hyperlink" Target="https://ref.ly/Deut11:30" TargetMode="External"/><Relationship Id="rId19" Type="http://schemas.openxmlformats.org/officeDocument/2006/relationships/hyperlink" Target="https://ref.ly/Josh19:33" TargetMode="External"/><Relationship Id="rId20" Type="http://schemas.openxmlformats.org/officeDocument/2006/relationships/hyperlink" Target="https://ref.ly/Judg4:11" TargetMode="External"/><Relationship Id="rId21" Type="http://schemas.openxmlformats.org/officeDocument/2006/relationships/hyperlink" Target="https://ref.ly/Judg9:6" TargetMode="External"/><Relationship Id="rId22" Type="http://schemas.openxmlformats.org/officeDocument/2006/relationships/hyperlink" Target="https://ref.ly/Judg9:37" TargetMode="External"/><Relationship Id="rId23" Type="http://schemas.openxmlformats.org/officeDocument/2006/relationships/hyperlink" Target="https://ref.ly/1Sam10:3" TargetMode="External"/><Relationship Id="rId24" Type="http://schemas.openxmlformats.org/officeDocument/2006/relationships/hyperlink" Target="https://ref.ly/Gen35:8" TargetMode="External"/><Relationship Id="rId25" Type="http://schemas.openxmlformats.org/officeDocument/2006/relationships/hyperlink" Target="https://ref.ly/Isa2:13" TargetMode="External"/><Relationship Id="rId26" Type="http://schemas.openxmlformats.org/officeDocument/2006/relationships/hyperlink" Target="https://ref.ly/Isa6:13" TargetMode="External"/><Relationship Id="rId27" Type="http://schemas.openxmlformats.org/officeDocument/2006/relationships/hyperlink" Target="https://ref.ly/Isa44:14" TargetMode="External"/><Relationship Id="rId28" Type="http://schemas.openxmlformats.org/officeDocument/2006/relationships/hyperlink" Target="https://ref.ly/Ezek27:6" TargetMode="External"/><Relationship Id="rId29" Type="http://schemas.openxmlformats.org/officeDocument/2006/relationships/hyperlink" Target="https://ref.ly/Hos4:13" TargetMode="External"/><Relationship Id="rId30" Type="http://schemas.openxmlformats.org/officeDocument/2006/relationships/hyperlink" Target="https://ref.ly/Amos2:9" TargetMode="External"/><Relationship Id="rId31" Type="http://schemas.openxmlformats.org/officeDocument/2006/relationships/hyperlink" Target="https://ref.ly/Zech11:2" TargetMode="External"/><Relationship Id="rId32" Type="http://schemas.openxmlformats.org/officeDocument/2006/relationships/image" Target="media/image1.jpg"/><Relationship Id="rId33" Type="http://schemas.openxmlformats.org/officeDocument/2006/relationships/image" Target="media/image2.jpg"/><Relationship Id="rId34" Type="http://schemas.openxmlformats.org/officeDocument/2006/relationships/hyperlink" Target="https://ref.ly/1Chr4:37" TargetMode="External"/><Relationship Id="rId35" Type="http://schemas.openxmlformats.org/officeDocument/2006/relationships/hyperlink" Target="https://ref.ly/Gen46:14" TargetMode="External"/><Relationship Id="rId36" Type="http://schemas.openxmlformats.org/officeDocument/2006/relationships/hyperlink" Target="https://ref.ly/Num26:26" TargetMode="External"/><Relationship Id="rId37" Type="http://schemas.openxmlformats.org/officeDocument/2006/relationships/hyperlink" Target="https://ref.ly/Judg12:1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