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Cypress</w:t>
      </w:r>
      <w:r>
        <w:rPr>
          <w:lang w:val="en_US" w:bidi="en_US"/>
        </w:rPr>
      </w:r>
    </w:p>
    <w:p>
      <w:pPr>
        <w:pStyle w:val="Heading1"/>
      </w:pPr>
      <w:r>
        <w:rPr>
          <w:lang w:val="en_US" w:bidi="en_US"/>
        </w:rPr>
        <w:t>1.6</w:t>
      </w:r>
      <w:r>
        <w:rPr>
          <w:lang w:val="en_US" w:bidi="en_US"/>
        </w:rPr>
        <w:t xml:space="preserve"> Cypress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בְּרוֹשׁ</w:t>
      </w:r>
      <w:r>
        <w:rPr>
          <w:lang w:val="en_US" w:bidi="en_US"/>
        </w:rPr>
        <w:t xml:space="preserve"> </w:t>
      </w:r>
      <w:r>
        <w:rPr>
          <w:lang w:val="en_US" w:bidi="en_US"/>
        </w:rPr>
        <w:t>(berosh)</w:t>
      </w:r>
      <w:r>
        <w:rPr>
          <w:lang w:val="en_US" w:bidi="en_US"/>
        </w:rPr>
      </w:r>
      <w:hyperlink r:id="rId14">
        <w:r>
          <w:rPr>
            <w:lang w:val="en_US" w:bidi="en_US"/>
          </w:rPr>
          <w:rPr>
            <w:color w:val="0000EE"/>
            <w:u w:val="single"/>
          </w:rPr>
          <w:t>2SA 6:5</w:t>
        </w:r>
      </w:hyperlink>
      <w:r>
        <w:rPr>
          <w:lang w:val="en_US" w:bidi="en_US"/>
        </w:rPr>
        <w:t xml:space="preserve">, </w:t>
      </w:r>
      <w:hyperlink r:id="rId15">
        <w:r>
          <w:rPr>
            <w:lang w:val="en_US" w:bidi="en_US"/>
          </w:rPr>
          <w:rPr>
            <w:color w:val="0000EE"/>
            <w:u w:val="single"/>
          </w:rPr>
          <w:t>PSA 104:17</w:t>
        </w:r>
      </w:hyperlink>
      <w:r>
        <w:rPr>
          <w:lang w:val="en_US" w:bidi="en_US"/>
        </w:rPr>
        <w:t xml:space="preserve">, </w:t>
      </w:r>
      <w:hyperlink r:id="rId16">
        <w:r>
          <w:rPr>
            <w:lang w:val="en_US" w:bidi="en_US"/>
          </w:rPr>
          <w:rPr>
            <w:color w:val="0000EE"/>
            <w:u w:val="single"/>
          </w:rPr>
          <w:t>ISA 37:24</w:t>
        </w:r>
      </w:hyperlink>
      <w:r>
        <w:rPr>
          <w:lang w:val="en_US" w:bidi="en_US"/>
        </w:rPr>
        <w:t xml:space="preserve">, </w:t>
      </w:r>
      <w:hyperlink r:id="rId17">
        <w:r>
          <w:rPr>
            <w:lang w:val="en_US" w:bidi="en_US"/>
          </w:rPr>
          <w:rPr>
            <w:color w:val="0000EE"/>
            <w:u w:val="single"/>
          </w:rPr>
          <w:t>ISA 41:19</w:t>
        </w:r>
      </w:hyperlink>
      <w:r>
        <w:rPr>
          <w:lang w:val="en_US" w:bidi="en_US"/>
        </w:rPr>
        <w:t xml:space="preserve">, </w:t>
      </w:r>
      <w:hyperlink r:id="rId18">
        <w:r>
          <w:rPr>
            <w:lang w:val="en_US" w:bidi="en_US"/>
          </w:rPr>
          <w:rPr>
            <w:color w:val="0000EE"/>
            <w:u w:val="single"/>
          </w:rPr>
          <w:t>ISA 55:13</w:t>
        </w:r>
      </w:hyperlink>
      <w:r>
        <w:rPr>
          <w:lang w:val="en_US" w:bidi="en_US"/>
        </w:rPr>
        <w:t xml:space="preserve">, </w:t>
      </w:r>
      <w:hyperlink r:id="rId19">
        <w:r>
          <w:rPr>
            <w:lang w:val="en_US" w:bidi="en_US"/>
          </w:rPr>
          <w:rPr>
            <w:color w:val="0000EE"/>
            <w:u w:val="single"/>
          </w:rPr>
          <w:t>EZK 31:8</w:t>
        </w:r>
      </w:hyperlink>
      <w:r>
        <w:rPr>
          <w:lang w:val="en_US" w:bidi="en_US"/>
        </w:rPr>
        <w:t xml:space="preserve">, </w:t>
      </w:r>
      <w:hyperlink r:id="rId20">
        <w:r>
          <w:rPr>
            <w:lang w:val="en_US" w:bidi="en_US"/>
          </w:rPr>
          <w:rPr>
            <w:color w:val="0000EE"/>
            <w:u w:val="single"/>
          </w:rPr>
          <w:t>HOS 14:9</w:t>
        </w:r>
      </w:hyperlink>
      <w:r>
        <w:rPr>
          <w:lang w:val="en_US" w:bidi="en_US"/>
        </w:rPr>
        <w:t xml:space="preserve">, </w:t>
      </w:r>
      <w:hyperlink r:id="rId21">
        <w:r>
          <w:rPr>
            <w:lang w:val="en_US" w:bidi="en_US"/>
          </w:rPr>
          <w:rPr>
            <w:color w:val="0000EE"/>
            <w:u w:val="single"/>
          </w:rPr>
          <w:t>NAM 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בְּרוֹת</w:t>
      </w:r>
      <w:r>
        <w:rPr>
          <w:lang w:val="en_US" w:bidi="en_US"/>
        </w:rPr>
        <w:t xml:space="preserve"> </w:t>
      </w:r>
      <w:r>
        <w:rPr>
          <w:lang w:val="en_US" w:bidi="en_US"/>
        </w:rPr>
        <w:t>(beroth)</w:t>
      </w:r>
      <w:r>
        <w:rPr>
          <w:lang w:val="en_US" w:bidi="en_US"/>
        </w:rPr>
      </w:r>
      <w:hyperlink r:id="rId22">
        <w:r>
          <w:rPr>
            <w:lang w:val="en_US" w:bidi="en_US"/>
          </w:rPr>
          <w:rPr>
            <w:color w:val="0000EE"/>
            <w:u w:val="single"/>
          </w:rPr>
          <w:t>SNG 1:17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גֹּפֶר</w:t>
      </w:r>
      <w:r>
        <w:rPr>
          <w:lang w:val="en_US" w:bidi="en_US"/>
        </w:rPr>
        <w:t xml:space="preserve"> </w:t>
      </w:r>
      <w:r>
        <w:rPr>
          <w:lang w:val="en_US" w:bidi="en_US"/>
        </w:rPr>
        <w:t>(gofer)</w:t>
      </w:r>
      <w:r>
        <w:rPr>
          <w:lang w:val="en_US" w:bidi="en_US"/>
        </w:rPr>
      </w:r>
      <w:hyperlink r:id="rId23">
        <w:r>
          <w:rPr>
            <w:lang w:val="en_US" w:bidi="en_US"/>
          </w:rPr>
          <w:rPr>
            <w:color w:val="0000EE"/>
            <w:u w:val="single"/>
          </w:rPr>
          <w:t>GEN 6:14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תְּאַשּׁוּר</w:t>
      </w:r>
      <w:r>
        <w:rPr>
          <w:lang w:val="en_US" w:bidi="en_US"/>
        </w:rPr>
        <w:t xml:space="preserve"> </w:t>
      </w:r>
      <w:r>
        <w:rPr>
          <w:lang w:val="en_US" w:bidi="en_US"/>
        </w:rPr>
        <w:t>(te’ashur)</w:t>
      </w:r>
      <w:r>
        <w:rPr>
          <w:lang w:val="en_US" w:bidi="en_US"/>
        </w:rPr>
      </w:r>
      <w:hyperlink r:id="rId17">
        <w:r>
          <w:rPr>
            <w:lang w:val="en_US" w:bidi="en_US"/>
          </w:rPr>
          <w:rPr>
            <w:color w:val="0000EE"/>
            <w:u w:val="single"/>
          </w:rPr>
          <w:t>ISA 41:19</w:t>
        </w:r>
      </w:hyperlink>
      <w:r>
        <w:rPr>
          <w:lang w:val="en_US" w:bidi="en_US"/>
        </w:rPr>
        <w:t xml:space="preserve">, </w:t>
      </w:r>
      <w:hyperlink r:id="rId24">
        <w:r>
          <w:rPr>
            <w:lang w:val="en_US" w:bidi="en_US"/>
          </w:rPr>
          <w:rPr>
            <w:color w:val="0000EE"/>
            <w:u w:val="single"/>
          </w:rPr>
          <w:t>ISA 60:13</w:t>
        </w:r>
      </w:hyperlink>
      <w:r>
        <w:rPr>
          <w:lang w:val="en_US" w:bidi="en_US"/>
        </w:rPr>
        <w:t xml:space="preserve">, </w:t>
      </w:r>
      <w:hyperlink r:id="rId25">
        <w:r>
          <w:rPr>
            <w:lang w:val="en_US" w:bidi="en_US"/>
          </w:rPr>
          <w:rPr>
            <w:color w:val="0000EE"/>
            <w:u w:val="single"/>
          </w:rPr>
          <w:t>EZK 27:6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תִּדְהָר</w:t>
      </w:r>
      <w:r>
        <w:rPr>
          <w:lang w:val="en_US" w:bidi="en_US"/>
        </w:rPr>
        <w:t xml:space="preserve"> </w:t>
      </w:r>
      <w:r>
        <w:rPr>
          <w:lang w:val="en_US" w:bidi="en_US"/>
        </w:rPr>
        <w:t>(tidhar)</w:t>
      </w:r>
      <w:r>
        <w:rPr>
          <w:lang w:val="en_US" w:bidi="en_US"/>
        </w:rPr>
      </w:r>
      <w:hyperlink r:id="rId17">
        <w:r>
          <w:rPr>
            <w:lang w:val="en_US" w:bidi="en_US"/>
          </w:rPr>
          <w:rPr>
            <w:color w:val="0000EE"/>
            <w:u w:val="single"/>
          </w:rPr>
          <w:t>ISA 41:19</w:t>
        </w:r>
      </w:hyperlink>
      <w:r>
        <w:rPr>
          <w:lang w:val="en_US" w:bidi="en_US"/>
        </w:rPr>
        <w:t xml:space="preserve">, </w:t>
      </w:r>
      <w:hyperlink r:id="rId24">
        <w:r>
          <w:rPr>
            <w:lang w:val="en_US" w:bidi="en_US"/>
          </w:rPr>
          <w:rPr>
            <w:color w:val="0000EE"/>
            <w:u w:val="single"/>
          </w:rPr>
          <w:t>ISA 60:13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Cypress tree (Ray Pritz (UBS))</w:t>
      </w:r>
      <w:r>
        <w:rPr>
          <w:lang w:val="en_US" w:bidi="en_US"/>
        </w:rPr>
        <w:t xml:space="preserve">The Hebrew word </w:t>
      </w:r>
      <w:r>
        <w:rPr>
          <w:i/>
          <w:lang w:val="en_US" w:bidi="en_US"/>
        </w:rPr>
        <w:t>berosh</w:t>
      </w:r>
      <w:r>
        <w:rPr>
          <w:lang w:val="en_US" w:bidi="en_US"/>
        </w:rPr>
        <w:t xml:space="preserve"> probably covered cypress, fir, and juniper; we are including here only those instances of </w:t>
      </w:r>
      <w:r>
        <w:rPr>
          <w:i/>
          <w:lang w:val="en_US" w:bidi="en_US"/>
        </w:rPr>
        <w:t>berosh</w:t>
      </w:r>
      <w:r>
        <w:rPr>
          <w:lang w:val="en_US" w:bidi="en_US"/>
        </w:rPr>
        <w:t xml:space="preserve"> that possibly refer specifically to the cypress. The Cypress </w:t>
      </w:r>
      <w:r>
        <w:rPr>
          <w:i/>
          <w:lang w:val="en_US" w:bidi="en_US"/>
        </w:rPr>
        <w:t>Cupressus sempervirens</w:t>
      </w:r>
      <w:r>
        <w:rPr>
          <w:lang w:val="en_US" w:bidi="en_US"/>
        </w:rPr>
        <w:t>, native to Israel, was once common in the mountains of Judea. It also grew abundantly in Lebanon along with cedars, firs, and Grecian junipers. Cypresses also grew in Judea, Gilead and Edom, and do so up to the present day.</w:t>
      </w:r>
      <w:r>
        <w:rPr>
          <w:lang w:val="en_US" w:bidi="en_US"/>
        </w:rPr>
      </w:r>
    </w:p>
    <w:p>
      <w:r>
        <w:drawing>
          <wp:inline xmlns:a="http://schemas.openxmlformats.org/drawingml/2006/main" xmlns:pic="http://schemas.openxmlformats.org/drawingml/2006/picture">
            <wp:extent cx="1397808" cy="1863744"/>
            <wp:docPr id="1" name="Picture 1"/>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1397808" cy="1863744"/>
                    </a:xfrm>
                    <a:prstGeom prst="rect"/>
                  </pic:spPr>
                </pic:pic>
              </a:graphicData>
            </a:graphic>
          </wp:inline>
        </w:drawing>
      </w:r>
    </w:p>
    <w:p>
      <w:pPr/>
      <w:r>
        <w:rPr>
          <w:lang w:val="en_US" w:bidi="en_US"/>
        </w:rPr>
      </w:r>
      <w:r>
        <w:rPr>
          <w:lang w:val="en_US" w:bidi="en_US"/>
        </w:rPr>
        <w:t xml:space="preserve">A comparison of versions reflects the disagreement among scholars on the identification of the coniferous trees. For example, the Hebrew word </w:t>
      </w:r>
      <w:r>
        <w:rPr>
          <w:i/>
          <w:lang w:val="en_US" w:bidi="en_US"/>
        </w:rPr>
        <w:t>berosh</w:t>
      </w:r>
      <w:r>
        <w:rPr>
          <w:lang w:val="en_US" w:bidi="en_US"/>
        </w:rPr>
        <w:t xml:space="preserve"> in </w:t>
      </w:r>
      <w:hyperlink r:id="rId27">
        <w:r>
          <w:rPr>
            <w:lang w:val="en_US" w:bidi="en_US"/>
          </w:rPr>
          <w:rPr>
            <w:color w:val="0000EE"/>
            <w:u w:val="single"/>
          </w:rPr>
          <w:t>1KI 5:22</w:t>
        </w:r>
      </w:hyperlink>
      <w:r>
        <w:rPr>
          <w:lang w:val="en_US" w:bidi="en_US"/>
        </w:rPr>
        <w:t xml:space="preserve"> (8) is translated as follows:</w:t>
      </w:r>
      <w:r>
        <w:rPr>
          <w:lang w:val="en_US" w:bidi="en_US"/>
        </w:rPr>
      </w:r>
    </w:p>
    <w:p>
      <w:pPr/>
      <w:r>
        <w:rPr>
          <w:lang w:val="en_US" w:bidi="en_US"/>
        </w:rPr>
      </w:r>
      <w:r>
        <w:rPr>
          <w:lang w:val="en_US" w:bidi="en_US"/>
        </w:rPr>
        <w:t>“cypress”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NLT</w:t>
      </w:r>
      <w:r>
        <w:rPr>
          <w:lang w:val="en_US" w:bidi="en_US"/>
        </w:rPr>
        <w:t>, Living Bible [</w:t>
      </w:r>
      <w:r>
        <w:rPr>
          <w:lang w:val="en_US" w:bidi="en_US"/>
        </w:rPr>
        <w:t>LB</w:t>
      </w:r>
      <w:r>
        <w:rPr>
          <w:lang w:val="en_US" w:bidi="en_US"/>
        </w:rPr>
        <w:t xml:space="preserve"> ], </w:t>
      </w:r>
      <w:r>
        <w:rPr>
          <w:lang w:val="en_US" w:bidi="en_US"/>
        </w:rPr>
        <w:t>NJPSV</w:t>
      </w:r>
      <w:r>
        <w:rPr>
          <w:lang w:val="en_US" w:bidi="en_US"/>
        </w:rPr>
        <w:t>; Brown, Driver and Briggs lexicon [</w:t>
      </w:r>
      <w:r>
        <w:rPr>
          <w:lang w:val="en_US" w:bidi="en_US"/>
        </w:rPr>
        <w:t>BDB</w:t>
      </w:r>
      <w:r>
        <w:rPr>
          <w:lang w:val="en_US" w:bidi="en_US"/>
        </w:rPr>
        <w:t xml:space="preserve"> ], Keil and Delitzsch)</w:t>
      </w:r>
      <w:r>
        <w:rPr>
          <w:lang w:val="en_US" w:bidi="en_US"/>
        </w:rPr>
      </w:r>
    </w:p>
    <w:p>
      <w:pPr/>
      <w:r>
        <w:rPr>
          <w:lang w:val="en_US" w:bidi="en_US"/>
        </w:rPr>
      </w:r>
      <w:r>
        <w:rPr>
          <w:lang w:val="en_US" w:bidi="en_US"/>
        </w:rPr>
        <w:t>“pine”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NIV</w:t>
      </w:r>
      <w:r>
        <w:rPr>
          <w:lang w:val="en_US" w:bidi="en_US"/>
        </w:rPr>
        <w:t xml:space="preserve">, </w:t>
      </w:r>
      <w:r>
        <w:rPr>
          <w:lang w:val="en_US" w:bidi="en_US"/>
        </w:rPr>
        <w:t>NCV</w:t>
      </w:r>
      <w:r>
        <w:rPr>
          <w:lang w:val="en_US" w:bidi="en_US"/>
        </w:rPr>
        <w:t xml:space="preserve">, </w:t>
      </w:r>
      <w:r>
        <w:rPr>
          <w:lang w:val="en_US" w:bidi="en_US"/>
        </w:rPr>
        <w:t>REB</w:t>
      </w:r>
      <w:r>
        <w:rPr>
          <w:lang w:val="en_US" w:bidi="en_US"/>
        </w:rPr>
        <w:t xml:space="preserve">, </w:t>
      </w:r>
      <w:r>
        <w:rPr>
          <w:i/>
          <w:lang w:val="en_US" w:bidi="en_US"/>
        </w:rPr>
        <w:t>Fauna and Flora of the Bible</w:t>
      </w:r>
      <w:r>
        <w:rPr>
          <w:lang w:val="en_US" w:bidi="en_US"/>
        </w:rPr>
        <w:t xml:space="preserve"> [FFB ])</w:t>
      </w:r>
      <w:r>
        <w:rPr>
          <w:lang w:val="en_US" w:bidi="en_US"/>
        </w:rPr>
      </w:r>
    </w:p>
    <w:p>
      <w:pPr/>
      <w:r>
        <w:rPr>
          <w:lang w:val="en_US" w:bidi="en_US"/>
        </w:rPr>
      </w:r>
      <w:r>
        <w:rPr>
          <w:lang w:val="en_US" w:bidi="en_US"/>
        </w:rPr>
        <w:t>“juniper” (</w:t>
      </w:r>
      <w:r>
        <w:rPr>
          <w:lang w:val="en_US" w:bidi="en_US"/>
        </w:rPr>
        <w:t>NJB</w:t>
      </w:r>
      <w:r>
        <w:rPr>
          <w:lang w:val="en_US" w:bidi="en_US"/>
        </w:rPr>
        <w:t>)</w:t>
      </w:r>
      <w:r>
        <w:rPr>
          <w:lang w:val="en_US" w:bidi="en_US"/>
        </w:rPr>
      </w:r>
    </w:p>
    <w:p>
      <w:pPr/>
      <w:r>
        <w:rPr>
          <w:lang w:val="en_US" w:bidi="en_US"/>
        </w:rPr>
      </w:r>
      <w:r>
        <w:rPr>
          <w:lang w:val="en_US" w:bidi="en_US"/>
        </w:rPr>
        <w:t>“fir” (New American Bible [</w:t>
      </w:r>
      <w:r>
        <w:rPr>
          <w:lang w:val="en_US" w:bidi="en_US"/>
        </w:rPr>
        <w:t>NAB</w:t>
      </w:r>
      <w:r>
        <w:rPr>
          <w:lang w:val="en_US" w:bidi="en_US"/>
        </w:rPr>
        <w:t xml:space="preserve"> ])</w:t>
      </w:r>
      <w:r>
        <w:rPr>
          <w:lang w:val="en_US" w:bidi="en_US"/>
        </w:rPr>
      </w:r>
    </w:p>
    <w:p>
      <w:pPr/>
      <w:r>
        <w:rPr>
          <w:lang w:val="en_US" w:bidi="en_US"/>
        </w:rPr>
      </w:r>
      <w:r>
        <w:rPr>
          <w:lang w:val="en_US" w:bidi="en_US"/>
        </w:rPr>
        <w:t>Cypress cone (Hans Braxmeier from Pixabay (Pixabay))</w:t>
      </w:r>
      <w:r>
        <w:rPr>
          <w:lang w:val="en_US" w:bidi="en_US"/>
        </w:rPr>
        <w:t xml:space="preserve">The disagreement here arises from the fact that </w:t>
      </w:r>
      <w:r>
        <w:rPr>
          <w:i/>
          <w:lang w:val="en_US" w:bidi="en_US"/>
        </w:rPr>
        <w:t>berosh</w:t>
      </w:r>
      <w:r>
        <w:rPr>
          <w:lang w:val="en_US" w:bidi="en_US"/>
        </w:rPr>
        <w:t xml:space="preserve"> is probably a generic term, and it should probably be translated generically, if possible, or differently according to the context. Following the opinion of Zohary and others, we take the word </w:t>
      </w:r>
      <w:r>
        <w:rPr>
          <w:i/>
          <w:lang w:val="en_US" w:bidi="en_US"/>
        </w:rPr>
        <w:t>berosh</w:t>
      </w:r>
      <w:r>
        <w:rPr>
          <w:lang w:val="en_US" w:bidi="en_US"/>
        </w:rPr>
        <w:t xml:space="preserve"> in 1–2 Kings and 2 Chronicles, where it is usually paired with </w:t>
      </w:r>
      <w:r>
        <w:rPr>
          <w:i/>
          <w:lang w:val="en_US" w:bidi="en_US"/>
        </w:rPr>
        <w:t>’erez</w:t>
      </w:r>
      <w:r>
        <w:rPr>
          <w:lang w:val="en_US" w:bidi="en_US"/>
        </w:rPr>
        <w:t xml:space="preserve"> (“cedar”) and/or Lebanon, to refer to the Cilician fir (see </w:t>
      </w:r>
      <w:hyperlink r:id="rId29">
        <w:r>
          <w:rPr>
            <w:lang w:val="en_US" w:bidi="en_US"/>
          </w:rPr>
          <w:rPr>
            <w:color w:val="0000EE"/>
            <w:u w:val="single"/>
          </w:rPr>
          <w:t>1.9 Fir</w:t>
        </w:r>
      </w:hyperlink>
      <w:r>
        <w:rPr>
          <w:lang w:val="en_US" w:bidi="en_US"/>
        </w:rPr>
        <w:t xml:space="preserve">) or to the Grecian juniper (see </w:t>
      </w:r>
      <w:hyperlink r:id="rId30">
        <w:r>
          <w:rPr>
            <w:lang w:val="en_US" w:bidi="en_US"/>
          </w:rPr>
          <w:rPr>
            <w:color w:val="0000EE"/>
            <w:u w:val="single"/>
          </w:rPr>
          <w:t>1.11.1 Grecian juniper (eastern savin)</w:t>
        </w:r>
      </w:hyperlink>
      <w:r>
        <w:rPr>
          <w:lang w:val="en_US" w:bidi="en_US"/>
        </w:rPr>
        <w:t xml:space="preserve">) rather than to the cypress. In the few other places where it occurs, it may refer to any one of the three conifers. The logic here is that since cypresses grew in Judea, King Solomon would not need to import them from Lebanon. However, it could also be argued that Lebanon may have produced better specimens than King Solomon could find in Israel and he might have imported some of them. In either case, this does not argue against </w:t>
      </w:r>
      <w:r>
        <w:rPr>
          <w:i/>
          <w:lang w:val="en_US" w:bidi="en_US"/>
        </w:rPr>
        <w:t>berosh</w:t>
      </w:r>
      <w:r>
        <w:rPr>
          <w:lang w:val="en_US" w:bidi="en_US"/>
        </w:rPr>
        <w:t xml:space="preserve"> as a generic term.</w:t>
      </w:r>
      <w:r>
        <w:rPr>
          <w:lang w:val="en_US" w:bidi="en_US"/>
        </w:rPr>
      </w:r>
    </w:p>
    <w:p>
      <w:r>
        <w:drawing>
          <wp:inline xmlns:a="http://schemas.openxmlformats.org/drawingml/2006/main" xmlns:pic="http://schemas.openxmlformats.org/drawingml/2006/picture">
            <wp:extent cx="6096000" cy="8128000"/>
            <wp:docPr id="2" name="Picture 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8128000"/>
                    </a:xfrm>
                    <a:prstGeom prst="rect"/>
                  </pic:spPr>
                </pic:pic>
              </a:graphicData>
            </a:graphic>
          </wp:inline>
        </w:drawing>
      </w:r>
    </w:p>
    <w:p>
      <w:pPr/>
      <w:r>
        <w:rPr>
          <w:lang w:val="en_US" w:bidi="en_US"/>
        </w:rPr>
      </w:r>
      <w:r>
        <w:rPr>
          <w:lang w:val="en_US" w:bidi="en_US"/>
        </w:rPr>
        <w:t xml:space="preserve">Hepper appears to agree with Zohary. Hareuveni identifies </w:t>
      </w:r>
      <w:r>
        <w:rPr>
          <w:i/>
          <w:lang w:val="en_US" w:bidi="en_US"/>
        </w:rPr>
        <w:t>berosh</w:t>
      </w:r>
      <w:r>
        <w:rPr>
          <w:lang w:val="en_US" w:bidi="en_US"/>
        </w:rPr>
        <w:t xml:space="preserve"> as juniper. Thus, if </w:t>
      </w:r>
      <w:r>
        <w:rPr>
          <w:i/>
          <w:lang w:val="en_US" w:bidi="en_US"/>
        </w:rPr>
        <w:t>berosh</w:t>
      </w:r>
      <w:r>
        <w:rPr>
          <w:lang w:val="en_US" w:bidi="en_US"/>
        </w:rPr>
        <w:t xml:space="preserve"> does refer to a single species, current scholarly opinion would support “fir” or “juniper,” but not “cypress” or “pine.” It is quite possible that </w:t>
      </w:r>
      <w:r>
        <w:rPr>
          <w:i/>
          <w:lang w:val="en_US" w:bidi="en_US"/>
        </w:rPr>
        <w:t>berosh</w:t>
      </w:r>
      <w:r>
        <w:rPr>
          <w:lang w:val="en_US" w:bidi="en_US"/>
        </w:rPr>
        <w:t xml:space="preserve"> and its cognates </w:t>
      </w:r>
      <w:r>
        <w:rPr>
          <w:i/>
          <w:lang w:val="en_US" w:bidi="en_US"/>
        </w:rPr>
        <w:t>burasu</w:t>
      </w:r>
      <w:r>
        <w:rPr>
          <w:lang w:val="en_US" w:bidi="en_US"/>
        </w:rPr>
        <w:t xml:space="preserve"> (Akkadian) and </w:t>
      </w:r>
      <w:r>
        <w:rPr>
          <w:i/>
          <w:lang w:val="en_US" w:bidi="en_US"/>
        </w:rPr>
        <w:t>brotha</w:t>
      </w:r>
      <w:r>
        <w:rPr>
          <w:lang w:val="en_US" w:bidi="en_US"/>
        </w:rPr>
        <w:t xml:space="preserve"> (Lebanese Arabic) have been used at different times both as generic terms and as specific terms for one of the conifers.</w:t>
      </w:r>
      <w:r>
        <w:rPr>
          <w:lang w:val="en_US" w:bidi="en_US"/>
        </w:rPr>
      </w:r>
    </w:p>
    <w:p>
      <w:pPr/>
      <w:r>
        <w:rPr>
          <w:lang w:val="en_US" w:bidi="en_US"/>
        </w:rPr>
      </w:r>
      <w:r>
        <w:rPr>
          <w:lang w:val="en_US" w:bidi="en_US"/>
        </w:rPr>
        <w:t xml:space="preserve">Regarding the </w:t>
      </w:r>
      <w:r>
        <w:rPr>
          <w:i/>
          <w:lang w:val="en_US" w:bidi="en_US"/>
        </w:rPr>
        <w:t>gofer</w:t>
      </w:r>
      <w:r>
        <w:rPr>
          <w:lang w:val="en_US" w:bidi="en_US"/>
        </w:rPr>
        <w:t xml:space="preserve"> wood that Noah used for his ark (</w:t>
      </w:r>
      <w:hyperlink r:id="rId23">
        <w:r>
          <w:rPr>
            <w:lang w:val="en_US" w:bidi="en_US"/>
          </w:rPr>
          <w:rPr>
            <w:color w:val="0000EE"/>
            <w:u w:val="single"/>
          </w:rPr>
          <w:t>GEN 6:14</w:t>
        </w:r>
      </w:hyperlink>
      <w:r>
        <w:rPr>
          <w:lang w:val="en_US" w:bidi="en_US"/>
        </w:rPr>
        <w:t xml:space="preserve">), little can be known until actual specimens turn up on Mount Ararat. Meanwhile, Moldenke and others thought that the wood used to build the ark may have been cypress, and this is found in Moffatt’s version. But pieces of the ark that were allegedly found by French explorers in the 1970s turned out to be oak dating from the sixth or seventh century A.D. Cypress is very durable. The similarity of the Hebrew word </w:t>
      </w:r>
      <w:r>
        <w:rPr>
          <w:i/>
          <w:lang w:val="en_US" w:bidi="en_US"/>
        </w:rPr>
        <w:t>gofer</w:t>
      </w:r>
      <w:r>
        <w:rPr>
          <w:lang w:val="en_US" w:bidi="en_US"/>
        </w:rPr>
        <w:t xml:space="preserve"> with </w:t>
      </w:r>
      <w:r>
        <w:rPr>
          <w:i/>
          <w:lang w:val="en_US" w:bidi="en_US"/>
        </w:rPr>
        <w:t>kofer</w:t>
      </w:r>
      <w:r>
        <w:rPr>
          <w:lang w:val="en_US" w:bidi="en_US"/>
        </w:rPr>
        <w:t xml:space="preserve"> (“bitumen”) suggests perhaps a resinous tree. Hence, others have ventured “pine” or “cedar.”</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Closely related to the pines, firs and cedars, the cypress may reach 9–15 meters (30–50 feet) high. It has small scale-like leaves and round cones. The tall, narrow specimens that are common today in Israel and other countries are a modern variety (</w:t>
      </w:r>
      <w:r>
        <w:rPr>
          <w:i/>
          <w:lang w:val="en_US" w:bidi="en_US"/>
        </w:rPr>
        <w:t>pyramidalis</w:t>
      </w:r>
      <w:r>
        <w:rPr>
          <w:lang w:val="en_US" w:bidi="en_US"/>
        </w:rPr>
        <w:t>) that has been specially developed.</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In the following passages </w:t>
      </w:r>
      <w:r>
        <w:rPr>
          <w:i/>
          <w:lang w:val="en_US" w:bidi="en_US"/>
        </w:rPr>
        <w:t>berosh</w:t>
      </w:r>
      <w:r>
        <w:rPr>
          <w:lang w:val="en_US" w:bidi="en_US"/>
        </w:rPr>
        <w:t xml:space="preserve"> seems to suggest something exotic:</w:t>
      </w:r>
      <w:r>
        <w:rPr>
          <w:lang w:val="en_US" w:bidi="en_US"/>
        </w:rPr>
      </w:r>
    </w:p>
    <w:p>
      <w:pPr/>
      <w:r>
        <w:rPr>
          <w:lang w:val="en_US" w:bidi="en_US"/>
        </w:rPr>
      </w:r>
      <w:hyperlink r:id="rId22">
        <w:r>
          <w:rPr>
            <w:lang w:val="en_US" w:bidi="en_US"/>
          </w:rPr>
          <w:rPr>
            <w:color w:val="0000EE"/>
            <w:u w:val="single"/>
          </w:rPr>
          <w:t>SNG 1:17</w:t>
        </w:r>
      </w:hyperlink>
      <w:r>
        <w:rPr>
          <w:lang w:val="en_US" w:bidi="en_US"/>
        </w:rPr>
        <w:t xml:space="preserve"> - “the beams of our house are cedar, our rafters are </w:t>
      </w:r>
      <w:r>
        <w:rPr>
          <w:i/>
          <w:lang w:val="en_US" w:bidi="en_US"/>
        </w:rPr>
        <w:t>berothim</w:t>
      </w:r>
      <w:r>
        <w:rPr>
          <w:lang w:val="en_US" w:bidi="en_US"/>
        </w:rPr>
        <w:t>.”</w:t>
      </w:r>
      <w:r>
        <w:rPr>
          <w:lang w:val="en_US" w:bidi="en_US"/>
        </w:rPr>
      </w:r>
    </w:p>
    <w:p>
      <w:pPr/>
      <w:r>
        <w:rPr>
          <w:lang w:val="en_US" w:bidi="en_US"/>
        </w:rPr>
      </w:r>
      <w:hyperlink r:id="rId24">
        <w:r>
          <w:rPr>
            <w:lang w:val="en_US" w:bidi="en_US"/>
          </w:rPr>
          <w:rPr>
            <w:color w:val="0000EE"/>
            <w:u w:val="single"/>
          </w:rPr>
          <w:t>ISA 60:13</w:t>
        </w:r>
      </w:hyperlink>
      <w:r>
        <w:rPr>
          <w:lang w:val="en_US" w:bidi="en_US"/>
        </w:rPr>
        <w:t xml:space="preserve"> - “the glory of Lebanon shall come to you, the </w:t>
      </w:r>
      <w:r>
        <w:rPr>
          <w:i/>
          <w:lang w:val="en_US" w:bidi="en_US"/>
        </w:rPr>
        <w:t>berosh</w:t>
      </w:r>
      <w:r>
        <w:rPr>
          <w:lang w:val="en_US" w:bidi="en_US"/>
        </w:rPr>
        <w:t>, the plane, and the pine, to beautify … my sanctuary … .”</w:t>
      </w:r>
      <w:r>
        <w:rPr>
          <w:lang w:val="en_US" w:bidi="en_US"/>
        </w:rPr>
      </w:r>
    </w:p>
    <w:p>
      <w:pPr/>
      <w:r>
        <w:rPr>
          <w:lang w:val="en_US" w:bidi="en_US"/>
        </w:rPr>
      </w:r>
      <w:r>
        <w:rPr>
          <w:lang w:val="en_US" w:bidi="en_US"/>
        </w:rPr>
        <w:t xml:space="preserve">Whether </w:t>
      </w:r>
      <w:r>
        <w:rPr>
          <w:i/>
          <w:lang w:val="en_US" w:bidi="en_US"/>
        </w:rPr>
        <w:t>berosh</w:t>
      </w:r>
      <w:r>
        <w:rPr>
          <w:lang w:val="en_US" w:bidi="en_US"/>
        </w:rPr>
        <w:t xml:space="preserve"> was generic or specific, a number of poetical passages use it to represent something special without specifying the particular quality in focus; for example, the third line of </w:t>
      </w:r>
      <w:hyperlink r:id="rId20">
        <w:r>
          <w:rPr>
            <w:lang w:val="en_US" w:bidi="en_US"/>
          </w:rPr>
          <w:rPr>
            <w:color w:val="0000EE"/>
            <w:u w:val="single"/>
          </w:rPr>
          <w:t>HOS 14:9</w:t>
        </w:r>
      </w:hyperlink>
      <w:r>
        <w:rPr>
          <w:lang w:val="en_US" w:bidi="en_US"/>
        </w:rPr>
        <w:t xml:space="preserve"> (8) says “I am like a </w:t>
      </w:r>
      <w:r>
        <w:rPr>
          <w:i/>
          <w:lang w:val="en_US" w:bidi="en_US"/>
        </w:rPr>
        <w:t>berosh</w:t>
      </w:r>
      <w:r>
        <w:rPr>
          <w:lang w:val="en_US" w:bidi="en_US"/>
        </w:rPr>
        <w:t xml:space="preserve">.” In this passage </w:t>
      </w:r>
      <w:r>
        <w:rPr>
          <w:lang w:val="en_US" w:bidi="en_US"/>
        </w:rPr>
        <w:t>GNB</w:t>
      </w:r>
      <w:r>
        <w:rPr>
          <w:lang w:val="en_US" w:bidi="en_US"/>
        </w:rPr>
        <w:t xml:space="preserve"> takes the function of the tree to be protection, whereas </w:t>
      </w:r>
      <w:r>
        <w:rPr>
          <w:lang w:val="en_US" w:bidi="en_US"/>
        </w:rPr>
        <w:t>NLT</w:t>
      </w:r>
      <w:r>
        <w:rPr>
          <w:lang w:val="en_US" w:bidi="en_US"/>
        </w:rPr>
        <w:t xml:space="preserve"> brings out the ever-green aspect of the tree. In other passages the shape and smell of the tree may be important.</w:t>
      </w:r>
      <w:r>
        <w:rPr>
          <w:lang w:val="en_US" w:bidi="en_US"/>
        </w:rPr>
      </w:r>
    </w:p>
    <w:p>
      <w:pPr/>
      <w:r>
        <w:rPr>
          <w:lang w:val="en_US" w:bidi="en_US"/>
        </w:rPr>
      </w:r>
      <w:r>
        <w:rPr>
          <w:lang w:val="en_US" w:bidi="en_US"/>
        </w:rPr>
        <w:t xml:space="preserve">Isaiah uses </w:t>
      </w:r>
      <w:r>
        <w:rPr>
          <w:i/>
          <w:lang w:val="en_US" w:bidi="en_US"/>
        </w:rPr>
        <w:t>berosh</w:t>
      </w:r>
      <w:r>
        <w:rPr>
          <w:lang w:val="en_US" w:bidi="en_US"/>
        </w:rPr>
        <w:t xml:space="preserve"> to represent a mountain tree that will grace the desert in the coming age:</w:t>
      </w:r>
      <w:r>
        <w:rPr>
          <w:lang w:val="en_US" w:bidi="en_US"/>
        </w:rPr>
      </w:r>
    </w:p>
    <w:p>
      <w:pPr/>
      <w:r>
        <w:rPr>
          <w:lang w:val="en_US" w:bidi="en_US"/>
        </w:rPr>
      </w:r>
      <w:hyperlink r:id="rId17">
        <w:r>
          <w:rPr>
            <w:lang w:val="en_US" w:bidi="en_US"/>
          </w:rPr>
          <w:rPr>
            <w:color w:val="0000EE"/>
            <w:u w:val="single"/>
          </w:rPr>
          <w:t>ISA 41:19</w:t>
        </w:r>
      </w:hyperlink>
      <w:r>
        <w:rPr>
          <w:lang w:val="en_US" w:bidi="en_US"/>
        </w:rPr>
        <w:t xml:space="preserve"> - “I will put in the wilderness the cedar, the acacia … I will set in the desert the </w:t>
      </w:r>
      <w:r>
        <w:rPr>
          <w:i/>
          <w:lang w:val="en_US" w:bidi="en_US"/>
        </w:rPr>
        <w:t>berosh</w:t>
      </w:r>
      <w:r>
        <w:rPr>
          <w:lang w:val="en_US" w:bidi="en_US"/>
        </w:rPr>
        <w:t>… .”</w:t>
      </w:r>
      <w:r>
        <w:rPr>
          <w:lang w:val="en_US" w:bidi="en_US"/>
        </w:rPr>
      </w:r>
    </w:p>
    <w:p>
      <w:pPr/>
      <w:r>
        <w:rPr>
          <w:lang w:val="en_US" w:bidi="en_US"/>
        </w:rPr>
      </w:r>
      <w:hyperlink r:id="rId18">
        <w:r>
          <w:rPr>
            <w:lang w:val="en_US" w:bidi="en_US"/>
          </w:rPr>
          <w:rPr>
            <w:color w:val="0000EE"/>
            <w:u w:val="single"/>
          </w:rPr>
          <w:t>ISA 55:13</w:t>
        </w:r>
      </w:hyperlink>
      <w:r>
        <w:rPr>
          <w:lang w:val="en_US" w:bidi="en_US"/>
        </w:rPr>
        <w:t xml:space="preserve"> - “Instead of the thorn shall come up the </w:t>
      </w:r>
      <w:r>
        <w:rPr>
          <w:i/>
          <w:lang w:val="en_US" w:bidi="en_US"/>
        </w:rPr>
        <w:t>berosh</w:t>
      </w:r>
      <w:r>
        <w:rPr>
          <w:lang w:val="en_US" w:bidi="en_US"/>
        </w:rPr>
        <w:t>. … ”</w:t>
      </w:r>
      <w:r>
        <w:rPr>
          <w:lang w:val="en_US" w:bidi="en_US"/>
        </w:rPr>
      </w:r>
    </w:p>
    <w:p>
      <w:pPr/>
      <w:r>
        <w:rPr>
          <w:lang w:val="en_US" w:bidi="en_US"/>
        </w:rPr>
      </w:r>
      <w:r>
        <w:rPr>
          <w:lang w:val="en_US" w:bidi="en_US"/>
        </w:rPr>
        <w:t>According to Hepper, the Egyptians used cypress wood for coffins.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If a generic word for evergreen conifers exists in the receptor language, then that could be used as a cover term for all the cases of </w:t>
      </w:r>
      <w:r>
        <w:rPr>
          <w:i/>
          <w:lang w:val="en_US" w:bidi="en_US"/>
        </w:rPr>
        <w:t>berosh</w:t>
      </w:r>
      <w:r>
        <w:rPr>
          <w:lang w:val="en_US" w:bidi="en_US"/>
        </w:rPr>
        <w:t xml:space="preserve">. If not, a phrase such as “strong and beautiful tree/wood” can be used in many places, or a transliteration from a major language, for example, </w:t>
      </w:r>
      <w:r>
        <w:rPr>
          <w:i/>
          <w:lang w:val="en_US" w:bidi="en_US"/>
        </w:rPr>
        <w:t>firi</w:t>
      </w:r>
      <w:r>
        <w:rPr>
          <w:lang w:val="en_US" w:bidi="en_US"/>
        </w:rPr>
        <w:t xml:space="preserve">, </w:t>
      </w:r>
      <w:r>
        <w:rPr>
          <w:i/>
          <w:lang w:val="en_US" w:bidi="en_US"/>
        </w:rPr>
        <w:t>piro</w:t>
      </w:r>
      <w:r>
        <w:rPr>
          <w:lang w:val="en_US" w:bidi="en_US"/>
        </w:rPr>
        <w:t xml:space="preserve">, </w:t>
      </w:r>
      <w:r>
        <w:rPr>
          <w:i/>
          <w:lang w:val="en_US" w:bidi="en_US"/>
        </w:rPr>
        <w:t>junipa</w:t>
      </w:r>
      <w:r>
        <w:rPr>
          <w:lang w:val="en_US" w:bidi="en_US"/>
        </w:rPr>
        <w:t xml:space="preserve"> or </w:t>
      </w:r>
      <w:r>
        <w:rPr>
          <w:i/>
          <w:lang w:val="en_US" w:bidi="en_US"/>
        </w:rPr>
        <w:t>yunifer</w:t>
      </w:r>
      <w:r>
        <w:rPr>
          <w:lang w:val="en_US" w:bidi="en_US"/>
        </w:rPr>
        <w:t xml:space="preserve">, for the references in 1–2 Kings, 2 Chronicles, and Song of Songs (and </w:t>
      </w:r>
      <w:r>
        <w:rPr>
          <w:i/>
          <w:lang w:val="en_US" w:bidi="en_US"/>
        </w:rPr>
        <w:t>kupresi</w:t>
      </w:r>
      <w:r>
        <w:rPr>
          <w:lang w:val="en_US" w:bidi="en_US"/>
        </w:rPr>
        <w:t xml:space="preserve"> or </w:t>
      </w:r>
      <w:r>
        <w:rPr>
          <w:i/>
          <w:lang w:val="en_US" w:bidi="en_US"/>
        </w:rPr>
        <w:t>sipres</w:t>
      </w:r>
      <w:r>
        <w:rPr>
          <w:lang w:val="en_US" w:bidi="en_US"/>
        </w:rPr>
        <w:t xml:space="preserve"> elsewhere). Where there is no indigenous evergreen tree, it is best not to try to find a substitute. In </w:t>
      </w:r>
      <w:hyperlink r:id="rId23">
        <w:r>
          <w:rPr>
            <w:lang w:val="en_US" w:bidi="en_US"/>
          </w:rPr>
          <w:rPr>
            <w:color w:val="0000EE"/>
            <w:u w:val="single"/>
          </w:rPr>
          <w:t>GEN 6:14</w:t>
        </w:r>
      </w:hyperlink>
      <w:r>
        <w:rPr>
          <w:lang w:val="en_US" w:bidi="en_US"/>
        </w:rPr>
        <w:t xml:space="preserve"> we advocate “strong wood” or a transliteration.</w:t>
      </w:r>
      <w:r>
        <w:rPr>
          <w:lang w:val="en_US" w:bidi="en_US"/>
        </w:rPr>
      </w:r>
    </w:p>
    <w:p>
      <w:pPr/>
      <w:r>
        <w:rPr>
          <w:lang w:val="en_US" w:bidi="en_US"/>
        </w:rPr>
      </w:r>
      <w:hyperlink r:id="rId25">
        <w:r>
          <w:rPr>
            <w:lang w:val="en_US" w:bidi="en_US"/>
          </w:rPr>
          <w:rPr>
            <w:color w:val="0000EE"/>
            <w:u w:val="single"/>
          </w:rPr>
          <w:t>EZK 27:6</w:t>
        </w:r>
      </w:hyperlink>
      <w:r>
        <w:rPr>
          <w:lang w:val="en_US" w:bidi="en_US"/>
        </w:rPr>
        <w:t xml:space="preserve">: There are textual variations here depending on what vowels you insert in the consonantal Hebrew text for </w:t>
      </w:r>
      <w:r>
        <w:rPr>
          <w:i/>
          <w:lang w:val="en_US" w:bidi="en_US"/>
        </w:rPr>
        <w:t>b-t-’-sh-r-m</w:t>
      </w:r>
      <w:r>
        <w:rPr>
          <w:lang w:val="en_US" w:bidi="en_US"/>
        </w:rPr>
        <w:t xml:space="preserve"> and how you divide the words in this phrase. It may be read </w:t>
      </w:r>
      <w:r>
        <w:rPr>
          <w:i/>
          <w:lang w:val="en_US" w:bidi="en_US"/>
        </w:rPr>
        <w:t>bat-’ashurim</w:t>
      </w:r>
      <w:r>
        <w:rPr>
          <w:lang w:val="en_US" w:bidi="en_US"/>
        </w:rPr>
        <w:t xml:space="preserve"> or </w:t>
      </w:r>
      <w:r>
        <w:rPr>
          <w:i/>
          <w:lang w:val="en_US" w:bidi="en_US"/>
        </w:rPr>
        <w:t>bite’ashurim</w:t>
      </w:r>
      <w:r>
        <w:rPr>
          <w:lang w:val="en_US" w:bidi="en_US"/>
        </w:rPr>
        <w:t xml:space="preserve">). </w:t>
      </w:r>
      <w:r>
        <w:rPr>
          <w:lang w:val="en_US" w:bidi="en_US"/>
        </w:rPr>
        <w:t>KJV</w:t>
      </w:r>
      <w:r>
        <w:rPr>
          <w:lang w:val="en_US" w:bidi="en_US"/>
        </w:rPr>
        <w:t xml:space="preserve"> takes the first option and interprets </w:t>
      </w:r>
      <w:r>
        <w:rPr>
          <w:i/>
          <w:lang w:val="en_US" w:bidi="en_US"/>
        </w:rPr>
        <w:t>’ashurim</w:t>
      </w:r>
      <w:r>
        <w:rPr>
          <w:lang w:val="en_US" w:bidi="en_US"/>
        </w:rPr>
        <w:t xml:space="preserve"> as refering to the people of Ashur (Assyria). Most scholars and versions now take it to refer to some kind of wood (“boxwood” in </w:t>
      </w:r>
      <w:r>
        <w:rPr>
          <w:lang w:val="en_US" w:bidi="en_US"/>
        </w:rPr>
        <w:t>NEB</w:t>
      </w:r>
      <w:r>
        <w:rPr>
          <w:lang w:val="en_US" w:bidi="en_US"/>
        </w:rPr>
        <w:t xml:space="preserve"> and </w:t>
      </w:r>
      <w:r>
        <w:rPr>
          <w:lang w:val="en_US" w:bidi="en_US"/>
        </w:rPr>
        <w:t>NJPSV</w:t>
      </w:r>
      <w:r>
        <w:rPr>
          <w:lang w:val="en_US" w:bidi="en_US"/>
        </w:rPr>
        <w:t xml:space="preserve">; “cypress” in </w:t>
      </w:r>
      <w:r>
        <w:rPr>
          <w:lang w:val="en_US" w:bidi="en_US"/>
        </w:rPr>
        <w:t>NIV</w:t>
      </w:r>
      <w:r>
        <w:rPr>
          <w:lang w:val="en_US" w:bidi="en_US"/>
        </w:rPr>
        <w:t xml:space="preserve">; “pine” in </w:t>
      </w:r>
      <w:r>
        <w:rPr>
          <w:lang w:val="en_US" w:bidi="en_US"/>
        </w:rPr>
        <w:t>RSV</w:t>
      </w:r>
      <w:r>
        <w:rPr>
          <w:lang w:val="en_US" w:bidi="en_US"/>
        </w:rPr>
        <w:t xml:space="preserve">, </w:t>
      </w:r>
      <w:r>
        <w:rPr>
          <w:lang w:val="en_US" w:bidi="en_US"/>
        </w:rPr>
        <w:t>GNB</w:t>
      </w:r>
      <w:r>
        <w:rPr>
          <w:lang w:val="en_US" w:bidi="en_US"/>
        </w:rPr>
        <w:t xml:space="preserve">, and </w:t>
      </w:r>
      <w:r>
        <w:rPr>
          <w:lang w:val="en_US" w:bidi="en_US"/>
        </w:rPr>
        <w:t>NLT</w:t>
      </w:r>
      <w:r>
        <w:rPr>
          <w:lang w:val="en_US" w:bidi="en_US"/>
        </w:rPr>
        <w:t xml:space="preserve">). The context here is rhetorical, but it gets its dramatic force from the mass of detailed information about the geography, history, and trading practices of the time, so we like to have specific words for </w:t>
      </w:r>
      <w:r>
        <w:rPr>
          <w:i/>
          <w:lang w:val="en_US" w:bidi="en_US"/>
        </w:rPr>
        <w:t>berosh</w:t>
      </w:r>
      <w:r>
        <w:rPr>
          <w:lang w:val="en_US" w:bidi="en_US"/>
        </w:rPr>
        <w:t xml:space="preserve">, </w:t>
      </w:r>
      <w:r>
        <w:rPr>
          <w:i/>
          <w:lang w:val="en_US" w:bidi="en_US"/>
        </w:rPr>
        <w:t>’erez</w:t>
      </w:r>
      <w:r>
        <w:rPr>
          <w:lang w:val="en_US" w:bidi="en_US"/>
        </w:rPr>
        <w:t xml:space="preserve"> (verse 5), </w:t>
      </w:r>
      <w:r>
        <w:rPr>
          <w:i/>
          <w:lang w:val="en_US" w:bidi="en_US"/>
        </w:rPr>
        <w:t>’allon</w:t>
      </w:r>
      <w:r>
        <w:rPr>
          <w:lang w:val="en_US" w:bidi="en_US"/>
        </w:rPr>
        <w:t xml:space="preserve">, and </w:t>
      </w:r>
      <w:r>
        <w:rPr>
          <w:i/>
          <w:lang w:val="en_US" w:bidi="en_US"/>
        </w:rPr>
        <w:t>te’ashur</w:t>
      </w:r>
      <w:r>
        <w:rPr>
          <w:lang w:val="en_US" w:bidi="en_US"/>
        </w:rPr>
        <w:t xml:space="preserve"> (verse 6). The translation (or transliteration) of </w:t>
      </w:r>
      <w:r>
        <w:rPr>
          <w:i/>
          <w:lang w:val="en_US" w:bidi="en_US"/>
        </w:rPr>
        <w:t>te’ashur</w:t>
      </w:r>
      <w:r>
        <w:rPr>
          <w:lang w:val="en_US" w:bidi="en_US"/>
        </w:rPr>
        <w:t xml:space="preserve"> here will depend on what the translator has done with the other terms. We suggest transliterating from Hebrew (together with a classifier “wood” or “tree”) by saying “… </w:t>
      </w:r>
      <w:r>
        <w:rPr>
          <w:i/>
          <w:lang w:val="en_US" w:bidi="en_US"/>
        </w:rPr>
        <w:t>berosh</w:t>
      </w:r>
      <w:r>
        <w:rPr>
          <w:lang w:val="en_US" w:bidi="en_US"/>
        </w:rPr>
        <w:t xml:space="preserve"> wood from Senir … </w:t>
      </w:r>
      <w:r>
        <w:rPr>
          <w:i/>
          <w:lang w:val="en_US" w:bidi="en_US"/>
        </w:rPr>
        <w:t>erez</w:t>
      </w:r>
      <w:r>
        <w:rPr>
          <w:lang w:val="en_US" w:bidi="en_US"/>
        </w:rPr>
        <w:t xml:space="preserve"> wood from Lebanon … </w:t>
      </w:r>
      <w:r>
        <w:rPr>
          <w:i/>
          <w:lang w:val="en_US" w:bidi="en_US"/>
        </w:rPr>
        <w:t>allon</w:t>
      </w:r>
      <w:r>
        <w:rPr>
          <w:lang w:val="en_US" w:bidi="en_US"/>
        </w:rPr>
        <w:t xml:space="preserve"> wood from Bashan … </w:t>
      </w:r>
      <w:r>
        <w:rPr>
          <w:i/>
          <w:lang w:val="en_US" w:bidi="en_US"/>
        </w:rPr>
        <w:t>te’ashur</w:t>
      </w:r>
      <w:r>
        <w:rPr>
          <w:lang w:val="en_US" w:bidi="en_US"/>
        </w:rPr>
        <w:t xml:space="preserve"> wood from the coast of Cyprus.” Transliterations from a major language are also possible.</w:t>
      </w:r>
      <w:r>
        <w:rPr>
          <w:lang w:val="en_US" w:bidi="en_US"/>
        </w:rPr>
      </w:r>
    </w:p>
    <w:p>
      <w:pPr/>
      <w:r>
        <w:rPr>
          <w:lang w:val="en_US" w:bidi="en_US"/>
        </w:rPr>
      </w:r>
      <w:hyperlink r:id="rId31">
        <w:r>
          <w:rPr>
            <w:lang w:val="en_US" w:bidi="en_US"/>
          </w:rPr>
          <w:rPr>
            <w:color w:val="0000EE"/>
            <w:u w:val="single"/>
          </w:rPr>
          <w:t>EZK 31:3</w:t>
        </w:r>
      </w:hyperlink>
      <w:r>
        <w:rPr>
          <w:lang w:val="en_US" w:bidi="en_US"/>
        </w:rPr>
        <w:t>: The second word of the Hebrew in this verse (</w:t>
      </w:r>
      <w:r>
        <w:rPr>
          <w:i/>
          <w:lang w:val="en_US" w:bidi="en_US"/>
        </w:rPr>
        <w:t>’ashur</w:t>
      </w:r>
      <w:r>
        <w:rPr>
          <w:lang w:val="en_US" w:bidi="en_US"/>
        </w:rPr>
        <w:t xml:space="preserve">) is emended by some scholars to read </w:t>
      </w:r>
      <w:r>
        <w:rPr>
          <w:i/>
          <w:lang w:val="en_US" w:bidi="en_US"/>
        </w:rPr>
        <w:t>te’ashur</w:t>
      </w:r>
      <w:r>
        <w:rPr>
          <w:lang w:val="en_US" w:bidi="en_US"/>
        </w:rPr>
        <w:t xml:space="preserve"> (compare </w:t>
      </w:r>
      <w:hyperlink r:id="rId17">
        <w:r>
          <w:rPr>
            <w:lang w:val="en_US" w:bidi="en_US"/>
          </w:rPr>
          <w:rPr>
            <w:color w:val="0000EE"/>
            <w:u w:val="single"/>
          </w:rPr>
          <w:t>ISA 41:19</w:t>
        </w:r>
      </w:hyperlink>
      <w:r>
        <w:rPr>
          <w:lang w:val="en_US" w:bidi="en_US"/>
        </w:rPr>
        <w:t xml:space="preserve">; </w:t>
      </w:r>
      <w:hyperlink r:id="rId24">
        <w:r>
          <w:rPr>
            <w:lang w:val="en_US" w:bidi="en_US"/>
          </w:rPr>
          <w:rPr>
            <w:color w:val="0000EE"/>
            <w:u w:val="single"/>
          </w:rPr>
          <w:t>ISA 60:13</w:t>
        </w:r>
      </w:hyperlink>
      <w:r>
        <w:rPr>
          <w:lang w:val="en_US" w:bidi="en_US"/>
        </w:rPr>
        <w:t>) and taken as a reference to the cypress. The third Hebrew word (</w:t>
      </w:r>
      <w:r>
        <w:rPr>
          <w:i/>
          <w:lang w:val="en_US" w:bidi="en_US"/>
        </w:rPr>
        <w:t>’erez</w:t>
      </w:r>
      <w:r>
        <w:rPr>
          <w:lang w:val="en_US" w:bidi="en_US"/>
        </w:rPr>
        <w:t xml:space="preserve">) refers to the cedar. The consensus of scholars now takes </w:t>
      </w:r>
      <w:r>
        <w:rPr>
          <w:i/>
          <w:lang w:val="en_US" w:bidi="en_US"/>
        </w:rPr>
        <w:t>’ashur</w:t>
      </w:r>
      <w:r>
        <w:rPr>
          <w:lang w:val="en_US" w:bidi="en_US"/>
        </w:rPr>
        <w:t xml:space="preserve"> as referring to Assyria rather than to a tree. Only </w:t>
      </w:r>
      <w:r>
        <w:rPr>
          <w:i/>
          <w:lang w:val="en_US" w:bidi="en_US"/>
        </w:rPr>
        <w:t>Traduction œcuménique de la Bible</w:t>
      </w:r>
      <w:r>
        <w:rPr>
          <w:lang w:val="en_US" w:bidi="en_US"/>
        </w:rPr>
        <w:t xml:space="preserve"> (</w:t>
      </w:r>
      <w:r>
        <w:rPr>
          <w:lang w:val="en_US" w:bidi="en_US"/>
        </w:rPr>
        <w:t>TOB</w:t>
      </w:r>
      <w:r>
        <w:rPr>
          <w:lang w:val="en_US" w:bidi="en_US"/>
        </w:rPr>
        <w:t>) renders it as “cypress.”</w:t>
      </w:r>
      <w:r>
        <w:rPr>
          <w:lang w:val="en_US" w:bidi="en_US"/>
        </w:rPr>
      </w:r>
    </w:p>
    <w:p>
      <w:pPr/>
      <w:r>
        <w:rPr>
          <w:lang w:val="en_US" w:bidi="en_US"/>
        </w:rPr>
      </w:r>
      <w:hyperlink r:id="rId21">
        <w:r>
          <w:rPr>
            <w:lang w:val="en_US" w:bidi="en_US"/>
          </w:rPr>
          <w:rPr>
            <w:color w:val="0000EE"/>
            <w:u w:val="single"/>
          </w:rPr>
          <w:t>NAM 2:4</w:t>
        </w:r>
      </w:hyperlink>
      <w:r>
        <w:rPr>
          <w:lang w:val="en_US" w:bidi="en_US"/>
        </w:rPr>
        <w:t xml:space="preserve"> (3): Literally, the last line of this verse says “the </w:t>
      </w:r>
      <w:r>
        <w:rPr>
          <w:i/>
          <w:lang w:val="en_US" w:bidi="en_US"/>
        </w:rPr>
        <w:t>beroshim</w:t>
      </w:r>
      <w:r>
        <w:rPr>
          <w:lang w:val="en_US" w:bidi="en_US"/>
        </w:rPr>
        <w:t xml:space="preserve"> tremble.” The versions are divided into two camps on the exegesis of this line:</w:t>
      </w:r>
      <w:r>
        <w:rPr>
          <w:lang w:val="en_US" w:bidi="en_US"/>
        </w:rPr>
      </w:r>
    </w:p>
    <w:p>
      <w:pPr/>
      <w:r>
        <w:rPr>
          <w:lang w:val="en_US" w:bidi="en_US"/>
        </w:rPr>
      </w:r>
      <w:r>
        <w:rPr>
          <w:lang w:val="en_US" w:bidi="en_US"/>
        </w:rPr>
        <w:t xml:space="preserve">1. </w:t>
      </w:r>
      <w:r>
        <w:rPr>
          <w:lang w:val="en_US" w:bidi="en_US"/>
        </w:rPr>
        <w:t>NIV</w:t>
      </w:r>
      <w:r>
        <w:rPr>
          <w:lang w:val="en_US" w:bidi="en_US"/>
        </w:rPr>
        <w:t xml:space="preserve">, </w:t>
      </w:r>
      <w:r>
        <w:rPr>
          <w:lang w:val="en_US" w:bidi="en_US"/>
        </w:rPr>
        <w:t>NLT</w:t>
      </w:r>
      <w:r>
        <w:rPr>
          <w:lang w:val="en_US" w:bidi="en_US"/>
        </w:rPr>
        <w:t>, and God’s Word (</w:t>
      </w:r>
      <w:r>
        <w:rPr>
          <w:lang w:val="en_US" w:bidi="en_US"/>
        </w:rPr>
        <w:t>GW</w:t>
      </w:r>
      <w:r>
        <w:rPr>
          <w:lang w:val="en_US" w:bidi="en_US"/>
        </w:rPr>
        <w:t xml:space="preserve">) accept the Hebrew text as it is and take </w:t>
      </w:r>
      <w:r>
        <w:rPr>
          <w:i/>
          <w:lang w:val="en_US" w:bidi="en_US"/>
        </w:rPr>
        <w:t>beroshim</w:t>
      </w:r>
      <w:r>
        <w:rPr>
          <w:lang w:val="en_US" w:bidi="en_US"/>
        </w:rPr>
        <w:t xml:space="preserve"> to refer to arrows or spears made from the wood of </w:t>
      </w:r>
      <w:r>
        <w:rPr>
          <w:i/>
          <w:lang w:val="en_US" w:bidi="en_US"/>
        </w:rPr>
        <w:t>berosh</w:t>
      </w:r>
      <w:r>
        <w:rPr>
          <w:lang w:val="en_US" w:bidi="en_US"/>
        </w:rPr>
        <w:t>, and “tremble” refers to these weapons being waved above the heads of the warriors.</w:t>
      </w:r>
      <w:r>
        <w:rPr>
          <w:lang w:val="en_US" w:bidi="en_US"/>
        </w:rPr>
      </w:r>
    </w:p>
    <w:p>
      <w:pPr/>
      <w:r>
        <w:rPr>
          <w:lang w:val="en_US" w:bidi="en_US"/>
        </w:rPr>
      </w:r>
      <w:r>
        <w:rPr>
          <w:lang w:val="en_US" w:bidi="en_US"/>
        </w:rPr>
        <w:t xml:space="preserve">2. </w:t>
      </w:r>
      <w:r>
        <w:rPr>
          <w:lang w:val="en_US" w:bidi="en_US"/>
        </w:rPr>
        <w:t>RSV</w:t>
      </w:r>
      <w:r>
        <w:rPr>
          <w:lang w:val="en_US" w:bidi="en_US"/>
        </w:rPr>
        <w:t xml:space="preserve">,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NCV</w:t>
      </w:r>
      <w:r>
        <w:rPr>
          <w:lang w:val="en_US" w:bidi="en_US"/>
        </w:rPr>
        <w:t xml:space="preserve">, </w:t>
      </w:r>
      <w:r>
        <w:rPr>
          <w:lang w:val="en_US" w:bidi="en_US"/>
        </w:rPr>
        <w:t>REB</w:t>
      </w:r>
      <w:r>
        <w:rPr>
          <w:lang w:val="en_US" w:bidi="en_US"/>
        </w:rPr>
        <w:t xml:space="preserve">, </w:t>
      </w:r>
      <w:r>
        <w:rPr>
          <w:lang w:val="en_US" w:bidi="en_US"/>
        </w:rPr>
        <w:t>NAB</w:t>
      </w:r>
      <w:r>
        <w:rPr>
          <w:lang w:val="en_US" w:bidi="en_US"/>
        </w:rPr>
        <w:t xml:space="preserve">, </w:t>
      </w:r>
      <w:r>
        <w:rPr>
          <w:lang w:val="en_US" w:bidi="en_US"/>
        </w:rPr>
        <w:t>JB</w:t>
      </w:r>
      <w:r>
        <w:rPr>
          <w:lang w:val="en_US" w:bidi="en_US"/>
        </w:rPr>
        <w:t xml:space="preserve">, and </w:t>
      </w:r>
      <w:r>
        <w:rPr>
          <w:lang w:val="en_US" w:bidi="en_US"/>
        </w:rPr>
        <w:t>NJB</w:t>
      </w:r>
      <w:r>
        <w:rPr>
          <w:lang w:val="en_US" w:bidi="en_US"/>
        </w:rPr>
        <w:t xml:space="preserve"> emend the consonants of </w:t>
      </w:r>
      <w:r>
        <w:rPr>
          <w:i/>
          <w:lang w:val="en_US" w:bidi="en_US"/>
        </w:rPr>
        <w:t>beroshim</w:t>
      </w:r>
      <w:r>
        <w:rPr>
          <w:lang w:val="en_US" w:bidi="en_US"/>
        </w:rPr>
        <w:t xml:space="preserve"> to read “horses.” In this case, “tremble” is taken to mean “prance” (</w:t>
      </w:r>
      <w:r>
        <w:rPr>
          <w:lang w:val="en_US" w:bidi="en_US"/>
        </w:rPr>
        <w:t>RSV</w:t>
      </w:r>
      <w:r>
        <w:rPr>
          <w:lang w:val="en_US" w:bidi="en_US"/>
        </w:rPr>
        <w:t xml:space="preserve">, </w:t>
      </w:r>
      <w:r>
        <w:rPr>
          <w:lang w:val="en_US" w:bidi="en_US"/>
        </w:rPr>
        <w:t>GNB</w:t>
      </w:r>
      <w:r>
        <w:rPr>
          <w:lang w:val="en_US" w:bidi="en_US"/>
        </w:rPr>
        <w:t xml:space="preserve">, </w:t>
      </w:r>
      <w:r>
        <w:rPr>
          <w:lang w:val="en_US" w:bidi="en_US"/>
        </w:rPr>
        <w:t>CEV</w:t>
      </w:r>
      <w:r>
        <w:rPr>
          <w:lang w:val="en_US" w:bidi="en_US"/>
        </w:rPr>
        <w:t>), “be impatient for action” (</w:t>
      </w:r>
      <w:r>
        <w:rPr>
          <w:lang w:val="en_US" w:bidi="en_US"/>
        </w:rPr>
        <w:t>NJB</w:t>
      </w:r>
      <w:r>
        <w:rPr>
          <w:lang w:val="en_US" w:bidi="en_US"/>
        </w:rPr>
        <w:t>), or “advance” (</w:t>
      </w:r>
      <w:r>
        <w:rPr>
          <w:lang w:val="en_US" w:bidi="en_US"/>
        </w:rPr>
        <w:t>REB</w:t>
      </w:r>
      <w:r>
        <w:rPr>
          <w:lang w:val="en_US" w:bidi="en_US"/>
        </w:rPr>
        <w:t>).</w:t>
      </w:r>
      <w:r>
        <w:rPr>
          <w:lang w:val="en_US" w:bidi="en_US"/>
        </w:rPr>
      </w:r>
    </w:p>
    <w:p>
      <w:pPr/>
      <w:r>
        <w:rPr>
          <w:lang w:val="en_US" w:bidi="en_US"/>
        </w:rPr>
      </w:r>
      <w:r>
        <w:rPr>
          <w:i/>
          <w:lang w:val="en_US" w:bidi="en_US"/>
        </w:rPr>
        <w:t>A Handbook on The Books of Nahum, Habakkuk, and Zephaniah</w:t>
      </w:r>
      <w:r>
        <w:rPr>
          <w:lang w:val="en_US" w:bidi="en_US"/>
        </w:rPr>
        <w:t xml:space="preserve"> considers both interpretations as equally likely. Translators are urged to follow a concensus of major versions in their area and footnote the alternative.</w:t>
      </w:r>
      <w:r>
        <w:rPr>
          <w:lang w:val="en_US" w:bidi="en_US"/>
        </w:rPr>
      </w:r>
    </w:p>
    <w:p>
      <w:pPr/>
      <w:r>
        <w:rPr>
          <w:lang w:val="en_US" w:bidi="en_US"/>
        </w:rPr>
      </w:r>
      <w:hyperlink r:id="rId14">
        <w:r>
          <w:rPr>
            <w:lang w:val="en_US" w:bidi="en_US"/>
          </w:rPr>
          <w:rPr>
            <w:color w:val="0000EE"/>
            <w:u w:val="single"/>
          </w:rPr>
          <w:t>2SA 6:5</w:t>
        </w:r>
      </w:hyperlink>
      <w:r>
        <w:rPr>
          <w:lang w:val="en_US" w:bidi="en_US"/>
        </w:rPr>
        <w:t xml:space="preserve">: Two positions are evident for the Hebrew phrase that is literally “with all the wood of </w:t>
      </w:r>
      <w:r>
        <w:rPr>
          <w:i/>
          <w:lang w:val="en_US" w:bidi="en_US"/>
        </w:rPr>
        <w:t>beroshim</w:t>
      </w:r>
      <w:r>
        <w:rPr>
          <w:lang w:val="en_US" w:bidi="en_US"/>
        </w:rPr>
        <w:t xml:space="preserve"> ”:</w:t>
      </w:r>
      <w:r>
        <w:rPr>
          <w:lang w:val="en_US" w:bidi="en_US"/>
        </w:rPr>
      </w:r>
    </w:p>
    <w:p>
      <w:pPr/>
      <w:r>
        <w:rPr>
          <w:lang w:val="en_US" w:bidi="en_US"/>
        </w:rPr>
      </w:r>
      <w:r>
        <w:rPr>
          <w:lang w:val="en_US" w:bidi="en_US"/>
        </w:rPr>
        <w:t xml:space="preserve">1.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GNB</w:t>
      </w:r>
      <w:r>
        <w:rPr>
          <w:lang w:val="en_US" w:bidi="en_US"/>
        </w:rPr>
        <w:t xml:space="preserve">, </w:t>
      </w:r>
      <w:r>
        <w:rPr>
          <w:lang w:val="en_US" w:bidi="en_US"/>
        </w:rPr>
        <w:t>NIV</w:t>
      </w:r>
      <w:r>
        <w:rPr>
          <w:lang w:val="en_US" w:bidi="en_US"/>
        </w:rPr>
        <w:t xml:space="preserve">, </w:t>
      </w:r>
      <w:r>
        <w:rPr>
          <w:lang w:val="en_US" w:bidi="en_US"/>
        </w:rPr>
        <w:t>NLT</w:t>
      </w:r>
      <w:r>
        <w:rPr>
          <w:lang w:val="en_US" w:bidi="en_US"/>
        </w:rPr>
        <w:t xml:space="preserve">, </w:t>
      </w:r>
      <w:r>
        <w:rPr>
          <w:lang w:val="en_US" w:bidi="en_US"/>
        </w:rPr>
        <w:t>REB</w:t>
      </w:r>
      <w:r>
        <w:rPr>
          <w:lang w:val="en_US" w:bidi="en_US"/>
        </w:rPr>
        <w:t xml:space="preserve">, </w:t>
      </w:r>
      <w:r>
        <w:rPr>
          <w:lang w:val="en_US" w:bidi="en_US"/>
        </w:rPr>
        <w:t>NAB</w:t>
      </w:r>
      <w:r>
        <w:rPr>
          <w:lang w:val="en_US" w:bidi="en_US"/>
        </w:rPr>
        <w:t xml:space="preserve">, </w:t>
      </w:r>
      <w:r>
        <w:rPr>
          <w:lang w:val="en_US" w:bidi="en_US"/>
        </w:rPr>
        <w:t>JB</w:t>
      </w:r>
      <w:r>
        <w:rPr>
          <w:lang w:val="en_US" w:bidi="en_US"/>
        </w:rPr>
        <w:t xml:space="preserve">, and </w:t>
      </w:r>
      <w:r>
        <w:rPr>
          <w:lang w:val="en_US" w:bidi="en_US"/>
        </w:rPr>
        <w:t>NJB</w:t>
      </w:r>
      <w:r>
        <w:rPr>
          <w:lang w:val="en_US" w:bidi="en_US"/>
        </w:rPr>
        <w:t xml:space="preserve"> follow one manuscript of the Dead Sea Scrolls, the Septuagint, and the parallel passage (</w:t>
      </w:r>
      <w:hyperlink r:id="rId32">
        <w:r>
          <w:rPr>
            <w:lang w:val="en_US" w:bidi="en_US"/>
          </w:rPr>
          <w:rPr>
            <w:color w:val="0000EE"/>
            <w:u w:val="single"/>
          </w:rPr>
          <w:t>1CH 13:8</w:t>
        </w:r>
      </w:hyperlink>
      <w:r>
        <w:rPr>
          <w:lang w:val="en_US" w:bidi="en_US"/>
        </w:rPr>
        <w:t>), which say “with all their might, with songs.”</w:t>
      </w:r>
      <w:r>
        <w:rPr>
          <w:lang w:val="en_US" w:bidi="en_US"/>
        </w:rPr>
      </w:r>
    </w:p>
    <w:p>
      <w:pPr/>
      <w:r>
        <w:rPr>
          <w:lang w:val="en_US" w:bidi="en_US"/>
        </w:rPr>
      </w:r>
      <w:r>
        <w:rPr>
          <w:lang w:val="en_US" w:bidi="en_US"/>
        </w:rPr>
        <w:t xml:space="preserve">2. </w:t>
      </w:r>
      <w:r>
        <w:rPr>
          <w:lang w:val="en_US" w:bidi="en_US"/>
        </w:rPr>
        <w:t>KJV</w:t>
      </w:r>
      <w:r>
        <w:rPr>
          <w:lang w:val="en_US" w:bidi="en_US"/>
        </w:rPr>
        <w:t xml:space="preserve">, </w:t>
      </w:r>
      <w:r>
        <w:rPr>
          <w:lang w:val="en_US" w:bidi="en_US"/>
        </w:rPr>
        <w:t>NCV</w:t>
      </w:r>
      <w:r>
        <w:rPr>
          <w:lang w:val="en_US" w:bidi="en_US"/>
        </w:rPr>
        <w:t xml:space="preserve">, </w:t>
      </w:r>
      <w:r>
        <w:rPr>
          <w:lang w:val="en_US" w:bidi="en_US"/>
        </w:rPr>
        <w:t>NJPSV</w:t>
      </w:r>
      <w:r>
        <w:rPr>
          <w:lang w:val="en_US" w:bidi="en_US"/>
        </w:rPr>
        <w:t xml:space="preserve">, </w:t>
      </w:r>
      <w:r>
        <w:rPr>
          <w:lang w:val="en_US" w:bidi="en_US"/>
        </w:rPr>
        <w:t>TOB</w:t>
      </w:r>
      <w:r>
        <w:rPr>
          <w:lang w:val="en_US" w:bidi="en_US"/>
        </w:rPr>
        <w:t>, the International Children’s Bible (</w:t>
      </w:r>
      <w:r>
        <w:rPr>
          <w:lang w:val="en_US" w:bidi="en_US"/>
        </w:rPr>
        <w:t>ICB</w:t>
      </w:r>
      <w:r>
        <w:rPr>
          <w:lang w:val="en_US" w:bidi="en_US"/>
        </w:rPr>
        <w:t>), the New American Standard Bible (</w:t>
      </w:r>
      <w:r>
        <w:rPr>
          <w:lang w:val="en_US" w:bidi="en_US"/>
        </w:rPr>
        <w:t>NASB</w:t>
      </w:r>
      <w:r>
        <w:rPr>
          <w:lang w:val="en_US" w:bidi="en_US"/>
        </w:rPr>
        <w:t>), the French common language version (</w:t>
      </w:r>
      <w:r>
        <w:rPr>
          <w:lang w:val="en_US" w:bidi="en_US"/>
        </w:rPr>
        <w:t>FRCL</w:t>
      </w:r>
      <w:r>
        <w:rPr>
          <w:lang w:val="en_US" w:bidi="en_US"/>
        </w:rPr>
        <w:t xml:space="preserve">), </w:t>
      </w:r>
      <w:r>
        <w:rPr>
          <w:i/>
          <w:lang w:val="en_US" w:bidi="en_US"/>
        </w:rPr>
        <w:t>La Sainte Bible: Nouvelle Version Segond révisée</w:t>
      </w:r>
      <w:r>
        <w:rPr>
          <w:lang w:val="en_US" w:bidi="en_US"/>
        </w:rPr>
        <w:t xml:space="preserve"> (NVSR), and </w:t>
      </w:r>
      <w:r>
        <w:rPr>
          <w:i/>
          <w:lang w:val="en_US" w:bidi="en_US"/>
        </w:rPr>
        <w:t>La Sainte Bible: La Bible du Semeur</w:t>
      </w:r>
      <w:r>
        <w:rPr>
          <w:lang w:val="en_US" w:bidi="en_US"/>
        </w:rPr>
        <w:t xml:space="preserve"> (SEM) follow the Masoretic Text (</w:t>
      </w:r>
      <w:r>
        <w:rPr>
          <w:lang w:val="en_US" w:bidi="en_US"/>
        </w:rPr>
        <w:t>MT</w:t>
      </w:r>
      <w:r>
        <w:rPr>
          <w:lang w:val="en_US" w:bidi="en_US"/>
        </w:rPr>
        <w:t xml:space="preserve">) </w:t>
      </w:r>
      <w:r>
        <w:rPr>
          <w:i/>
          <w:lang w:val="en_US" w:bidi="en_US"/>
        </w:rPr>
        <w:t>berosh</w:t>
      </w:r>
      <w:r>
        <w:rPr>
          <w:lang w:val="en_US" w:bidi="en_US"/>
        </w:rPr>
        <w:t xml:space="preserve"> and take </w:t>
      </w:r>
      <w:r>
        <w:rPr>
          <w:i/>
          <w:lang w:val="en_US" w:bidi="en_US"/>
        </w:rPr>
        <w:t>beroshim</w:t>
      </w:r>
      <w:r>
        <w:rPr>
          <w:lang w:val="en_US" w:bidi="en_US"/>
        </w:rPr>
        <w:t xml:space="preserve"> to refer to instruments made of “fir” (</w:t>
      </w:r>
      <w:r>
        <w:rPr>
          <w:lang w:val="en_US" w:bidi="en_US"/>
        </w:rPr>
        <w:t>KJV</w:t>
      </w:r>
      <w:r>
        <w:rPr>
          <w:lang w:val="en_US" w:bidi="en_US"/>
        </w:rPr>
        <w:t xml:space="preserve">, </w:t>
      </w:r>
      <w:r>
        <w:rPr>
          <w:lang w:val="en_US" w:bidi="en_US"/>
        </w:rPr>
        <w:t>NASB</w:t>
      </w:r>
      <w:r>
        <w:rPr>
          <w:lang w:val="en_US" w:bidi="en_US"/>
        </w:rPr>
        <w:t>), “cypress” (</w:t>
      </w:r>
      <w:r>
        <w:rPr>
          <w:lang w:val="en_US" w:bidi="en_US"/>
        </w:rPr>
        <w:t>NJPSV</w:t>
      </w:r>
      <w:r>
        <w:rPr>
          <w:lang w:val="en_US" w:bidi="en_US"/>
        </w:rPr>
        <w:t xml:space="preserve">, NVSR, SEM, </w:t>
      </w:r>
      <w:r>
        <w:rPr>
          <w:lang w:val="en_US" w:bidi="en_US"/>
        </w:rPr>
        <w:t>TOB</w:t>
      </w:r>
      <w:r>
        <w:rPr>
          <w:lang w:val="en_US" w:bidi="en_US"/>
        </w:rPr>
        <w:t>), or “pine” (</w:t>
      </w:r>
      <w:r>
        <w:rPr>
          <w:lang w:val="en_US" w:bidi="en_US"/>
        </w:rPr>
        <w:t>ICB</w:t>
      </w:r>
      <w:r>
        <w:rPr>
          <w:lang w:val="en_US" w:bidi="en_US"/>
        </w:rPr>
        <w:t xml:space="preserve">, </w:t>
      </w:r>
      <w:r>
        <w:rPr>
          <w:lang w:val="en_US" w:bidi="en_US"/>
        </w:rPr>
        <w:t>FRCL</w:t>
      </w:r>
      <w:r>
        <w:rPr>
          <w:lang w:val="en_US" w:bidi="en_US"/>
        </w:rPr>
        <w:t xml:space="preserve">), just as it may refer to spears or arrows in </w:t>
      </w:r>
      <w:hyperlink r:id="rId33">
        <w:r>
          <w:rPr>
            <w:lang w:val="en_US" w:bidi="en_US"/>
          </w:rPr>
          <w:rPr>
            <w:color w:val="0000EE"/>
            <w:u w:val="single"/>
          </w:rPr>
          <w:t>NAM 2:3</w:t>
        </w:r>
      </w:hyperlink>
      <w:r>
        <w:rPr>
          <w:lang w:val="en_US" w:bidi="en_US"/>
        </w:rPr>
        <w:t xml:space="preserve">. This seems to be supported by </w:t>
      </w:r>
      <w:r>
        <w:rPr>
          <w:lang w:val="en_US" w:bidi="en_US"/>
        </w:rPr>
        <w:t>HOTTP</w:t>
      </w:r>
      <w:r>
        <w:rPr>
          <w:lang w:val="en_US" w:bidi="en_US"/>
        </w:rPr>
        <w:t xml:space="preserve">, which gives a C rating to the </w:t>
      </w:r>
      <w:r>
        <w:rPr>
          <w:lang w:val="en_US" w:bidi="en_US"/>
        </w:rPr>
        <w:t>MT</w:t>
      </w:r>
      <w:r>
        <w:rPr>
          <w:lang w:val="en_US" w:bidi="en_US"/>
        </w:rPr>
        <w:t xml:space="preserve">. The alternative interpretation is included in footnotes in </w:t>
      </w:r>
      <w:r>
        <w:rPr>
          <w:lang w:val="en_US" w:bidi="en_US"/>
        </w:rPr>
        <w:t>NIV</w:t>
      </w:r>
      <w:r>
        <w:rPr>
          <w:lang w:val="en_US" w:bidi="en_US"/>
        </w:rPr>
        <w:t xml:space="preserve"> (“pine”), </w:t>
      </w:r>
      <w:r>
        <w:rPr>
          <w:lang w:val="en_US" w:bidi="en_US"/>
        </w:rPr>
        <w:t>GNB</w:t>
      </w:r>
      <w:r>
        <w:rPr>
          <w:lang w:val="en_US" w:bidi="en_US"/>
        </w:rPr>
        <w:t xml:space="preserve"> (“fir”), </w:t>
      </w:r>
      <w:r>
        <w:rPr>
          <w:lang w:val="en_US" w:bidi="en_US"/>
        </w:rPr>
        <w:t>NLT</w:t>
      </w:r>
      <w:r>
        <w:rPr>
          <w:lang w:val="en_US" w:bidi="en_US"/>
        </w:rPr>
        <w:t xml:space="preserve"> (“cypress”), and </w:t>
      </w:r>
      <w:r>
        <w:rPr>
          <w:lang w:val="en_US" w:bidi="en_US"/>
        </w:rPr>
        <w:t>REB</w:t>
      </w:r>
      <w:r>
        <w:rPr>
          <w:lang w:val="en_US" w:bidi="en_US"/>
        </w:rPr>
        <w:t xml:space="preserve"> (“beating of batons”).</w:t>
      </w:r>
      <w:r>
        <w:rPr>
          <w:lang w:val="en_US" w:bidi="en_US"/>
        </w:rPr>
      </w:r>
    </w:p>
    <w:p>
      <w:pPr/>
      <w:r>
        <w:rPr>
          <w:lang w:val="en_US" w:bidi="en_US"/>
        </w:rPr>
      </w:r>
      <w:r>
        <w:rPr>
          <w:lang w:val="en_US" w:bidi="en_US"/>
        </w:rPr>
        <w:t xml:space="preserve">Given a choice between following the </w:t>
      </w:r>
      <w:r>
        <w:rPr>
          <w:lang w:val="en_US" w:bidi="en_US"/>
        </w:rPr>
        <w:t>MT</w:t>
      </w:r>
      <w:r>
        <w:rPr>
          <w:lang w:val="en_US" w:bidi="en_US"/>
        </w:rPr>
        <w:t xml:space="preserve"> and following the Septuagint, we recommend following the </w:t>
      </w:r>
      <w:r>
        <w:rPr>
          <w:lang w:val="en_US" w:bidi="en_US"/>
        </w:rPr>
        <w:t>MT</w:t>
      </w:r>
      <w:r>
        <w:rPr>
          <w:lang w:val="en_US" w:bidi="en_US"/>
        </w:rPr>
        <w:t xml:space="preserve">, but suggest taking </w:t>
      </w:r>
      <w:r>
        <w:rPr>
          <w:i/>
          <w:lang w:val="en_US" w:bidi="en_US"/>
        </w:rPr>
        <w:t>beroshim</w:t>
      </w:r>
      <w:r>
        <w:rPr>
          <w:lang w:val="en_US" w:bidi="en_US"/>
        </w:rPr>
        <w:t xml:space="preserve"> as “precious wood.” The translation then would say “musical instruments of precious wood.”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Sam6:5" TargetMode="External"/><Relationship Id="rId15" Type="http://schemas.openxmlformats.org/officeDocument/2006/relationships/hyperlink" Target="https://ref.ly/Ps104:17" TargetMode="External"/><Relationship Id="rId16" Type="http://schemas.openxmlformats.org/officeDocument/2006/relationships/hyperlink" Target="https://ref.ly/Isa37:24" TargetMode="External"/><Relationship Id="rId17" Type="http://schemas.openxmlformats.org/officeDocument/2006/relationships/hyperlink" Target="https://ref.ly/Isa41:19" TargetMode="External"/><Relationship Id="rId18" Type="http://schemas.openxmlformats.org/officeDocument/2006/relationships/hyperlink" Target="https://ref.ly/Isa55:13" TargetMode="External"/><Relationship Id="rId19" Type="http://schemas.openxmlformats.org/officeDocument/2006/relationships/hyperlink" Target="https://ref.ly/Ezek31:8" TargetMode="External"/><Relationship Id="rId20" Type="http://schemas.openxmlformats.org/officeDocument/2006/relationships/hyperlink" Target="https://ref.ly/Hos14:9" TargetMode="External"/><Relationship Id="rId21" Type="http://schemas.openxmlformats.org/officeDocument/2006/relationships/hyperlink" Target="https://ref.ly/Nah2:4" TargetMode="External"/><Relationship Id="rId22" Type="http://schemas.openxmlformats.org/officeDocument/2006/relationships/hyperlink" Target="https://ref.ly/Song1:17" TargetMode="External"/><Relationship Id="rId23" Type="http://schemas.openxmlformats.org/officeDocument/2006/relationships/hyperlink" Target="https://ref.ly/Gen6:14" TargetMode="External"/><Relationship Id="rId24" Type="http://schemas.openxmlformats.org/officeDocument/2006/relationships/hyperlink" Target="https://ref.ly/Isa60:13" TargetMode="External"/><Relationship Id="rId25" Type="http://schemas.openxmlformats.org/officeDocument/2006/relationships/hyperlink" Target="https://ref.ly/Ezek27:6" TargetMode="External"/><Relationship Id="rId26" Type="http://schemas.openxmlformats.org/officeDocument/2006/relationships/image" Target="media/image1.jpg"/><Relationship Id="rId27" Type="http://schemas.openxmlformats.org/officeDocument/2006/relationships/hyperlink" Target="https://ref.ly/1Kgs5:22" TargetMode="External"/><Relationship Id="rId28" Type="http://schemas.openxmlformats.org/officeDocument/2006/relationships/image" Target="media/image2.jpg"/><Relationship Id="rId29" Type="http://schemas.openxmlformats.org/officeDocument/2006/relationships/hyperlink" Target="#FLORA:1.9" TargetMode="External"/><Relationship Id="rId30" Type="http://schemas.openxmlformats.org/officeDocument/2006/relationships/hyperlink" Target="#FLORA:1.11.1" TargetMode="External"/><Relationship Id="rId31" Type="http://schemas.openxmlformats.org/officeDocument/2006/relationships/hyperlink" Target="https://ref.ly/Ezek31:3" TargetMode="External"/><Relationship Id="rId32" Type="http://schemas.openxmlformats.org/officeDocument/2006/relationships/hyperlink" Target="https://ref.ly/1Chr13:8" TargetMode="External"/><Relationship Id="rId33" Type="http://schemas.openxmlformats.org/officeDocument/2006/relationships/hyperlink" Target="https://ref.ly/Nah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