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Lotus plant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1.14</w:t>
      </w:r>
      <w:r>
        <w:rPr>
          <w:lang w:val="en_US" w:bidi="en_US"/>
        </w:rPr>
        <w:t xml:space="preserve"> Lotus plant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צֶאֱלִים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(tse’elim)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JOB 40:21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JOB 40:22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Discussion: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identity of the tree or plant called </w:t>
      </w:r>
      <w:r>
        <w:rPr>
          <w:i/>
          <w:lang w:val="en_US" w:bidi="en_US"/>
        </w:rPr>
        <w:t>tse’elim</w:t>
      </w:r>
      <w:r>
        <w:rPr>
          <w:lang w:val="en_US" w:bidi="en_US"/>
        </w:rPr>
        <w:t xml:space="preserve"> in Job as the habitat for the monster “Behemoth” has perplexed scholars for centuries, partly because the identity of the monster itself is unknown (see </w:t>
      </w:r>
      <w:r>
        <w:rPr>
          <w:i/>
          <w:lang w:val="en_US" w:bidi="en_US"/>
        </w:rPr>
        <w:t>All Creatures Great and Small</w:t>
      </w:r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7.1</w:t>
        </w:r>
      </w:hyperlink>
      <w:r>
        <w:rPr>
          <w:lang w:val="en_US" w:bidi="en_US"/>
        </w:rPr>
        <w:t xml:space="preserve">). Surprisingly, neither Zohary nor Hepper comment on </w:t>
      </w:r>
      <w:r>
        <w:rPr>
          <w:i/>
          <w:lang w:val="en_US" w:bidi="en_US"/>
        </w:rPr>
        <w:t>tse’elim</w:t>
      </w:r>
      <w:r>
        <w:rPr>
          <w:lang w:val="en_US" w:bidi="en_US"/>
        </w:rPr>
        <w:t xml:space="preserve">. Attempts to identify the beast and its botanical context are perhaps futile, since on the surface they are mutually contradictory. If the beast is indeed a hippopotamus or a crocodile, then the Lotus Thorn </w:t>
      </w:r>
      <w:r>
        <w:rPr>
          <w:i/>
          <w:lang w:val="en_US" w:bidi="en_US"/>
        </w:rPr>
        <w:t>Ziziphus lotus</w:t>
      </w:r>
      <w:r>
        <w:rPr>
          <w:lang w:val="en_US" w:bidi="en_US"/>
        </w:rPr>
        <w:t xml:space="preserve"> is out of place, since it does not grow near water. If </w:t>
      </w:r>
      <w:r>
        <w:rPr>
          <w:i/>
          <w:lang w:val="en_US" w:bidi="en_US"/>
        </w:rPr>
        <w:t>Ziziphus lotus</w:t>
      </w:r>
      <w:r>
        <w:rPr>
          <w:lang w:val="en_US" w:bidi="en_US"/>
        </w:rPr>
        <w:t xml:space="preserve"> is correct, then the animal is not a hippopotamus or a crocodile, even allowing that these animals do come out for a siesta in the shade of a tree on the riverbank. As Moldenke says, judging by the references to reeds and willows in the context, </w:t>
      </w:r>
      <w:r>
        <w:rPr>
          <w:i/>
          <w:lang w:val="en_US" w:bidi="en_US"/>
        </w:rPr>
        <w:t>tse’elim</w:t>
      </w:r>
      <w:r>
        <w:rPr>
          <w:lang w:val="en_US" w:bidi="en_US"/>
        </w:rPr>
        <w:t xml:space="preserve"> could be plane trees or oleander shrubs. And they could, of course, be actual lotus plants (so </w:t>
      </w:r>
      <w:r>
        <w:rPr>
          <w:lang w:val="en_US" w:bidi="en_US"/>
        </w:rPr>
        <w:t>RSV</w:t>
      </w:r>
      <w:r>
        <w:rPr>
          <w:lang w:val="en_US" w:bidi="en_US"/>
        </w:rPr>
        <w:t>), which grow in streams and which are otherwise not referred to in Scripture.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Since the identity of </w:t>
      </w:r>
      <w:r>
        <w:rPr>
          <w:i/>
          <w:lang w:val="en_US" w:bidi="en_US"/>
        </w:rPr>
        <w:t>tse’elim</w:t>
      </w:r>
      <w:r>
        <w:rPr>
          <w:lang w:val="en_US" w:bidi="en_US"/>
        </w:rPr>
        <w:t xml:space="preserve"> is unknown, translators may wish to follow the lead of a major tradition in their area which assumes a watery environment (for example, </w:t>
      </w:r>
      <w:r>
        <w:rPr>
          <w:lang w:val="en_US" w:bidi="en_US"/>
        </w:rPr>
        <w:t>RSV</w:t>
      </w:r>
      <w:r>
        <w:rPr>
          <w:lang w:val="en_US" w:bidi="en_US"/>
        </w:rPr>
        <w:t xml:space="preserve">, </w:t>
      </w:r>
      <w:r>
        <w:rPr>
          <w:lang w:val="en_US" w:bidi="en_US"/>
        </w:rPr>
        <w:t>NIV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NLT</w:t>
      </w:r>
      <w:r>
        <w:rPr>
          <w:lang w:val="en_US" w:bidi="en_US"/>
        </w:rPr>
        <w:t xml:space="preserve">) and translate it as “lotus plants.” Versions that generalize to “shady trees” offer another option (so </w:t>
      </w:r>
      <w:r>
        <w:rPr>
          <w:lang w:val="en_US" w:bidi="en_US"/>
        </w:rPr>
        <w:t>CEV</w:t>
      </w:r>
      <w:r>
        <w:rPr>
          <w:lang w:val="en_US" w:bidi="en_US"/>
        </w:rPr>
        <w:t xml:space="preserve">). </w:t>
      </w:r>
      <w:r>
        <w:rPr>
          <w:lang w:val="en_US" w:bidi="en_US"/>
        </w:rPr>
        <w:t>GNB</w:t>
      </w:r>
      <w:r>
        <w:rPr>
          <w:lang w:val="en_US" w:bidi="en_US"/>
        </w:rPr>
        <w:t xml:space="preserve"> says “thorn bushes,” which apparently takes </w:t>
      </w:r>
      <w:r>
        <w:rPr>
          <w:i/>
          <w:lang w:val="en_US" w:bidi="en_US"/>
        </w:rPr>
        <w:t>tse’elim</w:t>
      </w:r>
      <w:r>
        <w:rPr>
          <w:lang w:val="en_US" w:bidi="en_US"/>
        </w:rPr>
        <w:t xml:space="preserve"> to refer to the Christ thorn or boxthorn, and leaves the botanical dilemma to the curious reader.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40:21" TargetMode="External"/><Relationship Id="rId15" Type="http://schemas.openxmlformats.org/officeDocument/2006/relationships/hyperlink" Target="https://ref.ly/Job40:22" TargetMode="External"/><Relationship Id="rId16" Type="http://schemas.openxmlformats.org/officeDocument/2006/relationships/hyperlink" Target="#FAUNA:7.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