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Carpet, rug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5.17</w:t>
      </w:r>
      <w:r>
        <w:rPr>
          <w:lang w:val="en_US" w:bidi="en_US"/>
        </w:rPr>
        <w:t xml:space="preserve"> Carpet, rug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גֶּנֶז</w:t>
      </w:r>
      <w:r>
        <w:rPr>
          <w:lang w:val="en_US" w:bidi="en_US"/>
        </w:rPr>
        <w:t xml:space="preserve"> </w:t>
      </w:r>
      <w:r>
        <w:rPr>
          <w:lang w:val="en_US" w:bidi="en_US"/>
        </w:rPr>
        <w:t>(genez)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EZK 27:24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(mad)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JDG 5:10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צָפִית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(tsafith)</w:t>
      </w: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ISA 21:5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שְׂמִיכָה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(smikah)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JDG 4:18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Carpets (© Grand Parc - Bordeaux, France, CC BY 2.0, via Wikimedia Commons)</w:t>
      </w:r>
      <w:r>
        <w:rPr>
          <w:lang w:val="en_US" w:bidi="en_US"/>
        </w:rPr>
        <w:t>The carpet was a covering for the floor of a room. It could be made of skins or cloth, usually woven from the hair of animals.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06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6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EZK 27:24</w:t>
        </w:r>
      </w:hyperlink>
      <w:r>
        <w:rPr>
          <w:lang w:val="en_US" w:bidi="en_US"/>
        </w:rPr>
        <w:t xml:space="preserve">: Like the other words in this entry, the Hebrew word </w:t>
      </w:r>
      <w:r>
        <w:rPr>
          <w:i/>
          <w:lang w:val="en_US" w:bidi="en_US"/>
        </w:rPr>
        <w:t>genez</w:t>
      </w:r>
      <w:r>
        <w:rPr>
          <w:lang w:val="en_US" w:bidi="en_US"/>
        </w:rPr>
        <w:t xml:space="preserve"> may appear only once in the Bible. </w:t>
      </w:r>
      <w:r>
        <w:rPr>
          <w:lang w:val="en_US" w:bidi="en_US"/>
        </w:rPr>
        <w:t>REB</w:t>
      </w:r>
      <w:r>
        <w:rPr>
          <w:lang w:val="en_US" w:bidi="en_US"/>
        </w:rPr>
        <w:t xml:space="preserve"> understands it to mean “stores” (see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EST 3:9</w:t>
        </w:r>
      </w:hyperlink>
      <w:r>
        <w:rPr>
          <w:lang w:val="en_US" w:bidi="en_US"/>
        </w:rPr>
        <w:t xml:space="preserve">;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EST 4:7</w:t>
        </w:r>
      </w:hyperlink>
      <w:r>
        <w:rPr>
          <w:lang w:val="en_US" w:bidi="en_US"/>
        </w:rPr>
        <w:t xml:space="preserve">, and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3.14.1.4 Treasury, strongroom&lt;REALIA:3.14.1.4&gt;</w:t>
        </w:r>
      </w:hyperlink>
      <w:r>
        <w:rPr>
          <w:lang w:val="en_US" w:bidi="en_US"/>
        </w:rPr>
        <w:t xml:space="preserve">), and </w:t>
      </w:r>
      <w:r>
        <w:rPr>
          <w:lang w:val="en_US" w:bidi="en_US"/>
        </w:rPr>
        <w:t>GECL</w:t>
      </w:r>
      <w:r>
        <w:rPr>
          <w:lang w:val="en_US" w:bidi="en_US"/>
        </w:rPr>
        <w:t xml:space="preserve"> has “garments,” but most translations agree that it means “carpets”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GNT</w:t>
      </w:r>
      <w:r>
        <w:rPr>
          <w:lang w:val="en_US" w:bidi="en_US"/>
        </w:rPr>
        <w:t>) or “rugs” (</w:t>
      </w:r>
      <w:r>
        <w:rPr>
          <w:lang w:val="en_US" w:bidi="en_US"/>
        </w:rPr>
        <w:t>NIV</w:t>
      </w:r>
      <w:r>
        <w:rPr>
          <w:lang w:val="en_US" w:bidi="en_US"/>
        </w:rPr>
        <w:t>).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JDG 5:10</w:t>
        </w:r>
      </w:hyperlink>
      <w:r>
        <w:rPr>
          <w:lang w:val="en_US" w:bidi="en_US"/>
        </w:rPr>
        <w:t xml:space="preserve">: The meaning of the Hebrew word </w:t>
      </w:r>
      <w:r>
        <w:rPr>
          <w:i/>
          <w:lang w:val="en_US" w:bidi="en_US"/>
        </w:rPr>
        <w:t>mad</w:t>
      </w:r>
      <w:r>
        <w:rPr>
          <w:lang w:val="en_US" w:bidi="en_US"/>
        </w:rPr>
        <w:t xml:space="preserve"> here is uncertain, so translations vary widely. A brief survey shows the following renderings: “rich carpets,” “carpets”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NRSV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ITCL</w:t>
      </w:r>
      <w:r>
        <w:rPr>
          <w:lang w:val="en_US" w:bidi="en_US"/>
        </w:rPr>
        <w:t xml:space="preserve">, </w:t>
      </w:r>
      <w:r>
        <w:rPr>
          <w:lang w:val="en_US" w:bidi="en_US"/>
        </w:rPr>
        <w:t>GECL</w:t>
      </w:r>
      <w:r>
        <w:rPr>
          <w:lang w:val="en_US" w:bidi="en_US"/>
        </w:rPr>
        <w:t xml:space="preserve">, </w:t>
      </w:r>
      <w:r>
        <w:rPr>
          <w:lang w:val="en_US" w:bidi="en_US"/>
        </w:rPr>
        <w:t>SPCL</w:t>
      </w:r>
      <w:r>
        <w:rPr>
          <w:lang w:val="en_US" w:bidi="en_US"/>
        </w:rPr>
        <w:t xml:space="preserve">, Luther, </w:t>
      </w:r>
      <w:r>
        <w:rPr>
          <w:lang w:val="en_US" w:bidi="en_US"/>
        </w:rPr>
        <w:t>BE</w:t>
      </w:r>
      <w:r>
        <w:rPr>
          <w:lang w:val="en_US" w:bidi="en_US"/>
        </w:rPr>
        <w:t>); “saddles,” “saddle-cloths,” “saddle blankets” (</w:t>
      </w:r>
      <w:r>
        <w:rPr>
          <w:lang w:val="en_US" w:bidi="en_US"/>
        </w:rPr>
        <w:t>GNT</w:t>
      </w:r>
      <w:r>
        <w:rPr>
          <w:lang w:val="en_US" w:bidi="en_US"/>
        </w:rPr>
        <w:t xml:space="preserve">, </w:t>
      </w:r>
      <w:r>
        <w:rPr>
          <w:lang w:val="en_US" w:bidi="en_US"/>
        </w:rPr>
        <w:t>REB</w:t>
      </w:r>
      <w:r>
        <w:rPr>
          <w:lang w:val="en_US" w:bidi="en_US"/>
        </w:rPr>
        <w:t xml:space="preserve">, </w:t>
      </w:r>
      <w:r>
        <w:rPr>
          <w:lang w:val="en_US" w:bidi="en_US"/>
        </w:rPr>
        <w:t>NIV</w:t>
      </w:r>
      <w:r>
        <w:rPr>
          <w:lang w:val="en_US" w:bidi="en_US"/>
        </w:rPr>
        <w:t xml:space="preserve">, </w:t>
      </w:r>
      <w:r>
        <w:rPr>
          <w:lang w:val="en_US" w:bidi="en_US"/>
        </w:rPr>
        <w:t>NCV</w:t>
      </w:r>
      <w:r>
        <w:rPr>
          <w:lang w:val="en_US" w:bidi="en_US"/>
        </w:rPr>
        <w:t>); “caparisons” (</w:t>
      </w:r>
      <w:r>
        <w:rPr>
          <w:lang w:val="en_US" w:bidi="en_US"/>
        </w:rPr>
        <w:t>JB</w:t>
      </w:r>
      <w:r>
        <w:rPr>
          <w:lang w:val="en_US" w:bidi="en_US"/>
        </w:rPr>
        <w:t xml:space="preserve">); “rich cloths” (the Jewish Publication Society’s </w:t>
      </w:r>
      <w:r>
        <w:rPr>
          <w:i/>
          <w:lang w:val="en_US" w:bidi="en_US"/>
        </w:rPr>
        <w:t>The Holy Scriptures</w:t>
      </w:r>
      <w:r>
        <w:rPr>
          <w:lang w:val="en_US" w:bidi="en_US"/>
        </w:rPr>
        <w:t xml:space="preserve">); “judgment” (Vulgate, </w:t>
      </w:r>
      <w:r>
        <w:rPr>
          <w:lang w:val="en_US" w:bidi="en_US"/>
        </w:rPr>
        <w:t>KJV</w:t>
      </w:r>
      <w:r>
        <w:rPr>
          <w:lang w:val="en_US" w:bidi="en_US"/>
        </w:rPr>
        <w:t>). In this verse the speakers address a broad range of society, but it is unclear if they divide society into three groups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 “you who ride on tawny asses, you who sit on rich carpets, and you who walk by the way”) or into two groups (</w:t>
      </w:r>
      <w:r>
        <w:rPr>
          <w:lang w:val="en_US" w:bidi="en_US"/>
        </w:rPr>
        <w:t>CEV</w:t>
      </w:r>
      <w:r>
        <w:rPr>
          <w:lang w:val="en_US" w:bidi="en_US"/>
        </w:rPr>
        <w:t xml:space="preserve"> “Whether you ride on a donkey with a padded saddle or have to walk”). The decision on how many groups are in view depends on the meaning adopted for the Hebrew word </w:t>
      </w:r>
      <w:r>
        <w:rPr>
          <w:i/>
          <w:lang w:val="en_US" w:bidi="en_US"/>
        </w:rPr>
        <w:t>mad</w:t>
      </w:r>
      <w:r>
        <w:rPr>
          <w:lang w:val="en_US" w:bidi="en_US"/>
        </w:rPr>
        <w:t>. Since saddles were frequently made of a piece of cloth that closely resembled a floor rug, those riding on donkeys could be the same as those sitting on (a saddle made of) a carpet.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ISA 21:5</w:t>
        </w:r>
      </w:hyperlink>
      <w:r>
        <w:rPr>
          <w:lang w:val="en_US" w:bidi="en_US"/>
        </w:rPr>
        <w:t xml:space="preserve">: Some older translations (for example, </w:t>
      </w:r>
      <w:r>
        <w:rPr>
          <w:lang w:val="en_US" w:bidi="en_US"/>
        </w:rPr>
        <w:t>KJV</w:t>
      </w:r>
      <w:r>
        <w:rPr>
          <w:lang w:val="en_US" w:bidi="en_US"/>
        </w:rPr>
        <w:t xml:space="preserve">) rendered the Hebrew word </w:t>
      </w:r>
      <w:r>
        <w:rPr>
          <w:i/>
          <w:lang w:val="en_US" w:bidi="en_US"/>
        </w:rPr>
        <w:t>tsafith</w:t>
      </w:r>
      <w:r>
        <w:rPr>
          <w:lang w:val="en_US" w:bidi="en_US"/>
        </w:rPr>
        <w:t xml:space="preserve"> here as “watchtower.” It is now commonly accepted that it probably means a floor carpet on which people sat while eating.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JDG 4:18</w:t>
        </w:r>
      </w:hyperlink>
      <w:r>
        <w:rPr>
          <w:lang w:val="en_US" w:bidi="en_US"/>
        </w:rPr>
        <w:t xml:space="preserve">: The Hebrew word </w:t>
      </w:r>
      <w:r>
        <w:rPr>
          <w:i/>
          <w:lang w:val="en_US" w:bidi="en_US"/>
        </w:rPr>
        <w:t>smikah</w:t>
      </w:r>
      <w:r>
        <w:rPr>
          <w:lang w:val="en_US" w:bidi="en_US"/>
        </w:rPr>
        <w:t xml:space="preserve"> appears only here in Scripture. It designates a thick cloth, perhaps a vertical hanging in a tent or a floor rug that could serve as a cover against the cold.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follows the first option by rendering the last clause in this verse as “she hid him behind a curtain.” </w:t>
      </w:r>
      <w:r>
        <w:rPr>
          <w:lang w:val="en_US" w:bidi="en_US"/>
        </w:rPr>
        <w:t>RSV</w:t>
      </w:r>
      <w:r>
        <w:rPr>
          <w:lang w:val="en_US" w:bidi="en_US"/>
        </w:rPr>
        <w:t xml:space="preserve"> selects the second option with “she covered him with a rug.” If the second option is chosen, the translator may want to follow the example of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by adding some implicit information here: “[Sisera lay down, and] Jael covered him with a blanket.”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zek27:24" TargetMode="External"/><Relationship Id="rId15" Type="http://schemas.openxmlformats.org/officeDocument/2006/relationships/hyperlink" Target="https://ref.ly/Judg5:10" TargetMode="External"/><Relationship Id="rId16" Type="http://schemas.openxmlformats.org/officeDocument/2006/relationships/hyperlink" Target="https://ref.ly/Isa21:5" TargetMode="External"/><Relationship Id="rId17" Type="http://schemas.openxmlformats.org/officeDocument/2006/relationships/hyperlink" Target="https://ref.ly/Judg4:18" TargetMode="External"/><Relationship Id="rId18" Type="http://schemas.openxmlformats.org/officeDocument/2006/relationships/image" Target="media/image1.jpg"/><Relationship Id="rId19" Type="http://schemas.openxmlformats.org/officeDocument/2006/relationships/hyperlink" Target="https://ref.ly/Esth3:9" TargetMode="External"/><Relationship Id="rId20" Type="http://schemas.openxmlformats.org/officeDocument/2006/relationships/hyperlink" Target="https://ref.ly/Esth4:7" TargetMode="External"/><Relationship Id="rId21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