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Other household items</w:t>
      </w:r>
      <w:r>
        <w:rPr>
          <w:lang w:val="en_US" w:bidi="en_US"/>
        </w:rPr>
      </w:r>
    </w:p>
    <w:p>
      <w:pPr>
        <w:pStyle w:val="Heading1"/>
      </w:pPr>
      <w:r>
        <w:rPr>
          <w:lang w:val="en_US" w:bidi="en_US"/>
        </w:rPr>
        <w:t>5.21</w:t>
      </w:r>
      <w:r>
        <w:rPr>
          <w:lang w:val="en_US" w:bidi="en_US"/>
        </w:rPr>
        <w:t xml:space="preserve"> Other household items</w:t>
      </w:r>
      <w:r>
        <w:rPr>
          <w:lang w:val="en_US" w:bidi="en_US"/>
        </w:rPr>
      </w:r>
    </w:p>
    <w:p>
      <w:pPr/>
      <w:r>
        <w:rPr>
          <w:lang w:val="en_US" w:bidi="en_US"/>
        </w:rPr>
      </w:r>
    </w:p>
    <w:p>
      <w:pPr>
        <w:pStyle w:val="Heading2"/>
      </w:pPr>
      <w:r>
        <w:rPr>
          <w:lang w:val="en_US" w:bidi="en_US"/>
        </w:rPr>
        <w:t>Needle</w:t>
      </w:r>
      <w:r>
        <w:rPr>
          <w:lang w:val="en_US" w:bidi="en_US"/>
        </w:rPr>
      </w:r>
    </w:p>
    <w:p>
      <w:pPr>
        <w:pStyle w:val="Heading1"/>
      </w:pPr>
      <w:r>
        <w:rPr>
          <w:lang w:val="en_US" w:bidi="en_US"/>
        </w:rPr>
        <w:t>5.21.1</w:t>
      </w:r>
      <w:r>
        <w:rPr>
          <w:lang w:val="en_US" w:bidi="en_US"/>
        </w:rPr>
        <w:t xml:space="preserve"> Needle</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βελόνη</w:t>
      </w:r>
      <w:r>
        <w:rPr>
          <w:lang w:val="en_US" w:bidi="en_US"/>
        </w:rPr>
        <w:t xml:space="preserve"> </w:t>
      </w:r>
      <w:r>
        <w:rPr>
          <w:lang w:val="en_US" w:bidi="en_US"/>
        </w:rPr>
        <w:t>(belonē)</w:t>
      </w:r>
      <w:r>
        <w:rPr>
          <w:lang w:val="en_US" w:bidi="en_US"/>
        </w:rPr>
      </w:r>
      <w:hyperlink r:id="rId14">
        <w:r>
          <w:rPr>
            <w:lang w:val="en_US" w:bidi="en_US"/>
          </w:rPr>
          <w:rPr>
            <w:color w:val="0000EE"/>
            <w:u w:val="single"/>
          </w:rPr>
          <w:t>LUK 18:25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ῥαφίς</w:t>
      </w:r>
      <w:r>
        <w:rPr>
          <w:lang w:val="en_US" w:bidi="en_US"/>
        </w:rPr>
        <w:t xml:space="preserve"> </w:t>
      </w:r>
      <w:r>
        <w:rPr>
          <w:lang w:val="en_US" w:bidi="en_US"/>
        </w:rPr>
        <w:t>(rhafis)</w:t>
      </w:r>
      <w:r>
        <w:rPr>
          <w:lang w:val="en_US" w:bidi="en_US"/>
        </w:rPr>
      </w:r>
      <w:hyperlink r:id="rId15">
        <w:r>
          <w:rPr>
            <w:lang w:val="en_US" w:bidi="en_US"/>
          </w:rPr>
          <w:rPr>
            <w:color w:val="0000EE"/>
            <w:u w:val="single"/>
          </w:rPr>
          <w:t>MAT 19:24</w:t>
        </w:r>
      </w:hyperlink>
      <w:r>
        <w:rPr>
          <w:lang w:val="en_US" w:bidi="en_US"/>
        </w:rPr>
        <w:t xml:space="preserve">, </w:t>
      </w:r>
      <w:hyperlink r:id="rId16">
        <w:r>
          <w:rPr>
            <w:lang w:val="en_US" w:bidi="en_US"/>
          </w:rPr>
          <w:rPr>
            <w:color w:val="0000EE"/>
            <w:u w:val="single"/>
          </w:rPr>
          <w:t>MRK 10:25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Roman needles (National Museums Liverpool) (© Portable Antiquities Scheme, CC BY-SA 4.0, via Wikimedia Commons)</w:t>
      </w:r>
      <w:r>
        <w:rPr>
          <w:lang w:val="en_US" w:bidi="en_US"/>
        </w:rPr>
        <w:t>The needle was a small, slender, and very smooth instrument, pointed on one end and with a hole at the other end. It was used to aid in passing thread through cloth in sewing. It could be made of metal, bone, or even a strong thorn.</w:t>
      </w:r>
      <w:r>
        <w:rPr>
          <w:lang w:val="en_US" w:bidi="en_US"/>
        </w:rPr>
      </w:r>
    </w:p>
    <w:p>
      <w:r>
        <w:drawing>
          <wp:inline xmlns:a="http://schemas.openxmlformats.org/drawingml/2006/main" xmlns:pic="http://schemas.openxmlformats.org/drawingml/2006/picture">
            <wp:extent cx="1439055" cy="239842"/>
            <wp:docPr id="1" name="Picture 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1439055" cy="239842"/>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There is no convincing evidence that the literal expression “eye of a needle” in </w:t>
      </w:r>
      <w:hyperlink r:id="rId15">
        <w:r>
          <w:rPr>
            <w:lang w:val="en_US" w:bidi="en_US"/>
          </w:rPr>
          <w:rPr>
            <w:color w:val="0000EE"/>
            <w:u w:val="single"/>
          </w:rPr>
          <w:t>MAT 19:24</w:t>
        </w:r>
      </w:hyperlink>
      <w:r>
        <w:rPr>
          <w:lang w:val="en_US" w:bidi="en_US"/>
        </w:rPr>
        <w:t xml:space="preserve">; </w:t>
      </w:r>
      <w:hyperlink r:id="rId16">
        <w:r>
          <w:rPr>
            <w:lang w:val="en_US" w:bidi="en_US"/>
          </w:rPr>
          <w:rPr>
            <w:color w:val="0000EE"/>
            <w:u w:val="single"/>
          </w:rPr>
          <w:t>MRK 10:25</w:t>
        </w:r>
      </w:hyperlink>
      <w:r>
        <w:rPr>
          <w:lang w:val="en_US" w:bidi="en_US"/>
        </w:rPr>
        <w:t xml:space="preserve"> and </w:t>
      </w:r>
      <w:hyperlink r:id="rId14">
        <w:r>
          <w:rPr>
            <w:lang w:val="en_US" w:bidi="en_US"/>
          </w:rPr>
          <w:rPr>
            <w:color w:val="0000EE"/>
            <w:u w:val="single"/>
          </w:rPr>
          <w:t>LUK 18:25</w:t>
        </w:r>
      </w:hyperlink>
      <w:r>
        <w:rPr>
          <w:lang w:val="en_US" w:bidi="en_US"/>
        </w:rPr>
        <w:t xml:space="preserve"> is a figurative name for a narrow gate. The reference to a camel passing through the eye of a needle is an example of rhetorical hyperbole. Here it is a purposeful exaggeration to point out the extreme difficulty of the event to which it is compared. It seems that Jesus chose the largest land animal known in Israel and the smallest man-made opening to express this difficulty. The hole in a needle is referred to differently in various languages, for example, “nostril of a needle,” “ear of a needle,” “mouth of a needle,” and even “anus of a needle.”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Broom</w:t>
      </w:r>
      <w:r>
        <w:rPr>
          <w:lang w:val="en_US" w:bidi="en_US"/>
        </w:rPr>
      </w:r>
    </w:p>
    <w:p>
      <w:pPr>
        <w:pStyle w:val="Heading1"/>
      </w:pPr>
      <w:r>
        <w:rPr>
          <w:lang w:val="en_US" w:bidi="en_US"/>
        </w:rPr>
        <w:t>5.21.2</w:t>
      </w:r>
      <w:r>
        <w:rPr>
          <w:lang w:val="en_US" w:bidi="en_US"/>
        </w:rPr>
        <w:t xml:space="preserve"> Broom</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מַטְאֲטֵא</w:t>
      </w:r>
      <w:r>
        <w:rPr>
          <w:lang w:val="en_US" w:bidi="en_US"/>
        </w:rPr>
        <w:t xml:space="preserve"> </w:t>
      </w:r>
      <w:r>
        <w:rPr>
          <w:lang w:val="en_US" w:bidi="en_US"/>
        </w:rPr>
        <w:t>(mat’ate’)</w:t>
      </w:r>
      <w:r>
        <w:rPr>
          <w:lang w:val="en_US" w:bidi="en_US"/>
        </w:rPr>
      </w:r>
      <w:hyperlink r:id="rId18">
        <w:r>
          <w:rPr>
            <w:lang w:val="en_US" w:bidi="en_US"/>
          </w:rPr>
          <w:rPr>
            <w:color w:val="0000EE"/>
            <w:u w:val="single"/>
          </w:rPr>
          <w:t>ISA 14:23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The broom was a longer or shorter stick to one end of which was attached some flexible material such as small branches. The broom was used to sweep dirt from the floor.</w:t>
      </w:r>
      <w:r>
        <w:rPr>
          <w:lang w:val="en_US" w:bidi="en_US"/>
        </w:rPr>
      </w:r>
    </w:p>
    <w:p>
      <w:r>
        <w:drawing>
          <wp:inline xmlns:a="http://schemas.openxmlformats.org/drawingml/2006/main" xmlns:pic="http://schemas.openxmlformats.org/drawingml/2006/picture">
            <wp:extent cx="6096000" cy="9144000"/>
            <wp:docPr id="2" name="Picture 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096000" cy="9144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Hebrew word </w:t>
      </w:r>
      <w:r>
        <w:rPr>
          <w:i/>
          <w:lang w:val="en_US" w:bidi="en_US"/>
        </w:rPr>
        <w:t>mat’ate’</w:t>
      </w:r>
      <w:r>
        <w:rPr>
          <w:lang w:val="en_US" w:bidi="en_US"/>
        </w:rPr>
        <w:t xml:space="preserve"> appears only in </w:t>
      </w:r>
      <w:hyperlink r:id="rId18">
        <w:r>
          <w:rPr>
            <w:lang w:val="en_US" w:bidi="en_US"/>
          </w:rPr>
          <w:rPr>
            <w:color w:val="0000EE"/>
            <w:u w:val="single"/>
          </w:rPr>
          <w:t>ISA 14:23</w:t>
        </w:r>
      </w:hyperlink>
      <w:r>
        <w:rPr>
          <w:lang w:val="en_US" w:bidi="en_US"/>
        </w:rPr>
        <w:t>, although it is known from extra-biblical literature. In the Isaiah reference it is an instrument of destruction and judgment, and most translations render literally “broom of destruction” (</w:t>
      </w:r>
      <w:r>
        <w:rPr>
          <w:lang w:val="en_US" w:bidi="en_US"/>
        </w:rPr>
        <w:t>RSV</w:t>
      </w:r>
      <w:r>
        <w:rPr>
          <w:lang w:val="en_US" w:bidi="en_US"/>
        </w:rPr>
        <w:t xml:space="preserve">, </w:t>
      </w:r>
      <w:r>
        <w:rPr>
          <w:lang w:val="en_US" w:bidi="en_US"/>
        </w:rPr>
        <w:t>NIV</w:t>
      </w:r>
      <w:r>
        <w:rPr>
          <w:lang w:val="en_US" w:bidi="en_US"/>
        </w:rPr>
        <w:t xml:space="preserve">). Where an equivalent implement is not known, or where a destructive broom might seem too strange, translators may follow </w:t>
      </w:r>
      <w:r>
        <w:rPr>
          <w:lang w:val="en_US" w:bidi="en_US"/>
        </w:rPr>
        <w:t>CEV</w:t>
      </w:r>
      <w:r>
        <w:rPr>
          <w:lang w:val="en_US" w:bidi="en_US"/>
        </w:rPr>
        <w:t>, which renders the last half of the verse as “The LORD will sweep out the people.”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Peg (on a wall)</w:t>
      </w:r>
      <w:r>
        <w:rPr>
          <w:lang w:val="en_US" w:bidi="en_US"/>
        </w:rPr>
      </w:r>
    </w:p>
    <w:p>
      <w:pPr>
        <w:pStyle w:val="Heading1"/>
      </w:pPr>
      <w:r>
        <w:rPr>
          <w:lang w:val="en_US" w:bidi="en_US"/>
        </w:rPr>
        <w:t>5.21.3</w:t>
      </w:r>
      <w:r>
        <w:rPr>
          <w:lang w:val="en_US" w:bidi="en_US"/>
        </w:rPr>
        <w:t xml:space="preserve"> Peg (on a wall)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יָתֵד</w:t>
      </w:r>
      <w:r>
        <w:rPr>
          <w:lang w:val="en_US" w:bidi="en_US"/>
        </w:rPr>
        <w:t xml:space="preserve"> </w:t>
      </w:r>
      <w:r>
        <w:rPr>
          <w:lang w:val="en_US" w:bidi="en_US"/>
        </w:rPr>
        <w:t>(yathed)</w:t>
      </w:r>
      <w:r>
        <w:rPr>
          <w:lang w:val="en_US" w:bidi="en_US"/>
        </w:rPr>
      </w:r>
      <w:hyperlink r:id="rId20">
        <w:r>
          <w:rPr>
            <w:lang w:val="en_US" w:bidi="en_US"/>
          </w:rPr>
          <w:rPr>
            <w:color w:val="0000EE"/>
            <w:u w:val="single"/>
          </w:rPr>
          <w:t>ISA 22:23</w:t>
        </w:r>
      </w:hyperlink>
      <w:r>
        <w:rPr>
          <w:lang w:val="en_US" w:bidi="en_US"/>
        </w:rPr>
        <w:t xml:space="preserve">, </w:t>
      </w:r>
      <w:hyperlink r:id="rId21">
        <w:r>
          <w:rPr>
            <w:lang w:val="en_US" w:bidi="en_US"/>
          </w:rPr>
          <w:rPr>
            <w:color w:val="0000EE"/>
            <w:u w:val="single"/>
          </w:rPr>
          <w:t>ISA 22:25</w:t>
        </w:r>
      </w:hyperlink>
      <w:r>
        <w:rPr>
          <w:lang w:val="en_US" w:bidi="en_US"/>
        </w:rPr>
        <w:t xml:space="preserve">, </w:t>
      </w:r>
      <w:hyperlink r:id="rId22">
        <w:r>
          <w:rPr>
            <w:lang w:val="en_US" w:bidi="en_US"/>
          </w:rPr>
          <w:rPr>
            <w:color w:val="0000EE"/>
            <w:u w:val="single"/>
          </w:rPr>
          <w:t>EZK 15:3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The peg was a short wooden stick, pointed on one end. It was pounded into a crack between stones that formed the wall of a house. It then served as a place to hang objects.</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w:t>
      </w:r>
      <w:hyperlink r:id="rId20">
        <w:r>
          <w:rPr>
            <w:lang w:val="en_US" w:bidi="en_US"/>
          </w:rPr>
          <w:rPr>
            <w:color w:val="0000EE"/>
            <w:u w:val="single"/>
          </w:rPr>
          <w:t>ISA 22:23</w:t>
        </w:r>
      </w:hyperlink>
      <w:r>
        <w:rPr>
          <w:lang w:val="en_US" w:bidi="en_US"/>
        </w:rPr>
        <w:t xml:space="preserve">; </w:t>
      </w:r>
      <w:hyperlink r:id="rId21">
        <w:r>
          <w:rPr>
            <w:lang w:val="en_US" w:bidi="en_US"/>
          </w:rPr>
          <w:rPr>
            <w:color w:val="0000EE"/>
            <w:u w:val="single"/>
          </w:rPr>
          <w:t>ISA 22:25</w:t>
        </w:r>
      </w:hyperlink>
      <w:r>
        <w:rPr>
          <w:lang w:val="en_US" w:bidi="en_US"/>
        </w:rPr>
        <w:t xml:space="preserve"> the wall peg is a symbol of stability. See the discussion at </w:t>
      </w:r>
      <w:hyperlink r:id="rId23">
        <w:r>
          <w:rPr>
            <w:lang w:val="en_US" w:bidi="en_US"/>
          </w:rPr>
          <w:rPr>
            <w:color w:val="0000EE"/>
            <w:u w:val="single"/>
          </w:rPr>
          <w:t>3.2.2 Tent peg, stake&lt;REALIA:3.2.2&gt;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Birthstool</w:t>
      </w:r>
      <w:r>
        <w:rPr>
          <w:lang w:val="en_US" w:bidi="en_US"/>
        </w:rPr>
      </w:r>
    </w:p>
    <w:p>
      <w:pPr>
        <w:pStyle w:val="Heading1"/>
      </w:pPr>
      <w:r>
        <w:rPr>
          <w:lang w:val="en_US" w:bidi="en_US"/>
        </w:rPr>
        <w:t>5.21.4</w:t>
      </w:r>
      <w:r>
        <w:rPr>
          <w:lang w:val="en_US" w:bidi="en_US"/>
        </w:rPr>
        <w:t xml:space="preserve"> Birthstool</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אָבְנַיִם</w:t>
      </w:r>
      <w:r>
        <w:rPr>
          <w:lang w:val="en_US" w:bidi="en_US"/>
        </w:rPr>
        <w:t xml:space="preserve"> </w:t>
      </w:r>
      <w:r>
        <w:rPr>
          <w:lang w:val="en_US" w:bidi="en_US"/>
        </w:rPr>
        <w:t>(’ovnayim)</w:t>
      </w:r>
      <w:r>
        <w:rPr>
          <w:lang w:val="en_US" w:bidi="en_US"/>
        </w:rPr>
      </w:r>
      <w:hyperlink r:id="rId24">
        <w:r>
          <w:rPr>
            <w:lang w:val="en_US" w:bidi="en_US"/>
          </w:rPr>
          <w:rPr>
            <w:color w:val="0000EE"/>
            <w:u w:val="single"/>
          </w:rPr>
          <w:t>EXO 1:16</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The birthstool was a special seat, perhaps made of two stones side by side with a space between them, on which a woman sat to give birth.</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Hebrew word </w:t>
      </w:r>
      <w:r>
        <w:rPr>
          <w:i/>
          <w:lang w:val="en_US" w:bidi="en_US"/>
        </w:rPr>
        <w:t>’ovnayim</w:t>
      </w:r>
      <w:r>
        <w:rPr>
          <w:lang w:val="en_US" w:bidi="en_US"/>
        </w:rPr>
        <w:t xml:space="preserve"> literally means “pair of stones” or “double stone.” Lexicographers and commentators differ concerning its meaning in </w:t>
      </w:r>
      <w:hyperlink r:id="rId24">
        <w:r>
          <w:rPr>
            <w:lang w:val="en_US" w:bidi="en_US"/>
          </w:rPr>
          <w:rPr>
            <w:color w:val="0000EE"/>
            <w:u w:val="single"/>
          </w:rPr>
          <w:t>EXO 1:16</w:t>
        </w:r>
      </w:hyperlink>
      <w:r>
        <w:rPr>
          <w:lang w:val="en_US" w:bidi="en_US"/>
        </w:rPr>
        <w:t xml:space="preserve">. In </w:t>
      </w:r>
      <w:hyperlink r:id="rId25">
        <w:r>
          <w:rPr>
            <w:lang w:val="en_US" w:bidi="en_US"/>
          </w:rPr>
          <w:rPr>
            <w:color w:val="0000EE"/>
            <w:u w:val="single"/>
          </w:rPr>
          <w:t>JER 18:3</w:t>
        </w:r>
      </w:hyperlink>
      <w:r>
        <w:rPr>
          <w:lang w:val="en_US" w:bidi="en_US"/>
        </w:rPr>
        <w:t xml:space="preserve"> the same word refers to the potter’s wheel (see </w:t>
      </w:r>
      <w:hyperlink r:id="rId23">
        <w:r>
          <w:rPr>
            <w:lang w:val="en_US" w:bidi="en_US"/>
          </w:rPr>
          <w:rPr>
            <w:color w:val="0000EE"/>
            <w:u w:val="single"/>
          </w:rPr>
          <w:t>1.5.1.1 Potter’s wheel&lt;REALIA:1.5.1.1&gt;</w:t>
        </w:r>
      </w:hyperlink>
      <w:r>
        <w:rPr>
          <w:lang w:val="en_US" w:bidi="en_US"/>
        </w:rPr>
        <w:t xml:space="preserve">). The dictionaries offer two probable meanings: (1) it may be a euphemism to refer to the genitals, so the second clause in </w:t>
      </w:r>
      <w:hyperlink r:id="rId24">
        <w:r>
          <w:rPr>
            <w:lang w:val="en_US" w:bidi="en_US"/>
          </w:rPr>
          <w:rPr>
            <w:color w:val="0000EE"/>
            <w:u w:val="single"/>
          </w:rPr>
          <w:t>EXO 1:16</w:t>
        </w:r>
      </w:hyperlink>
      <w:r>
        <w:rPr>
          <w:lang w:val="en_US" w:bidi="en_US"/>
        </w:rPr>
        <w:t xml:space="preserve"> may be rendered “you will look to see if the baby is a boy”); or (2) it may designate a birthstool because of a certain resemblance to the potter’s bench, so the same clause may be rendered “you will watch as they give birth.” The context allows either interpretation.</w:t>
      </w:r>
      <w:r>
        <w:rPr>
          <w:lang w:val="en_US" w:bidi="en_US"/>
        </w:rPr>
      </w:r>
    </w:p>
    <w:p>
      <w:pPr/>
      <w:r>
        <w:rPr>
          <w:lang w:val="en_US" w:bidi="en_US"/>
        </w:rPr>
      </w:r>
      <w:r>
        <w:rPr>
          <w:lang w:val="en_US" w:bidi="en_US"/>
        </w:rPr>
        <w:t xml:space="preserve">It is not necessary to give a literal translation; for the first half of this verse, compare </w:t>
      </w:r>
      <w:r>
        <w:rPr>
          <w:lang w:val="en_US" w:bidi="en_US"/>
        </w:rPr>
        <w:t>GNT</w:t>
      </w:r>
      <w:r>
        <w:rPr>
          <w:lang w:val="en_US" w:bidi="en_US"/>
        </w:rPr>
        <w:t xml:space="preserve"> “When you help the Hebrew women give birth.” Where such a stool or chair is known, of course, it may be used here. </w:t>
      </w:r>
      <w:r>
        <w:rPr>
          <w:lang w:val="en_US" w:bidi="en_US"/>
        </w:rPr>
        <w:t>NIV</w:t>
      </w:r>
      <w:r>
        <w:rPr>
          <w:lang w:val="en_US" w:bidi="en_US"/>
        </w:rPr>
        <w:t xml:space="preserve"> has “When you help the Hebrew women in childbirth and observe them on the delivery stool.” here. </w:t>
      </w:r>
      <w:r>
        <w:rPr>
          <w:lang w:val="en_US" w:bidi="en_US"/>
        </w:rPr>
        <w:t>NIV</w:t>
      </w:r>
      <w:r>
        <w:rPr>
          <w:lang w:val="en_US" w:bidi="en_US"/>
        </w:rPr>
        <w:t xml:space="preserve"> has “When you help the Hebrew women in childbirth and observe them on the delivery stool.”</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uke18:25" TargetMode="External"/><Relationship Id="rId15" Type="http://schemas.openxmlformats.org/officeDocument/2006/relationships/hyperlink" Target="https://ref.ly/Matt19:24" TargetMode="External"/><Relationship Id="rId16" Type="http://schemas.openxmlformats.org/officeDocument/2006/relationships/hyperlink" Target="https://ref.ly/Mark10:25" TargetMode="External"/><Relationship Id="rId17" Type="http://schemas.openxmlformats.org/officeDocument/2006/relationships/image" Target="media/image1.jpg"/><Relationship Id="rId18" Type="http://schemas.openxmlformats.org/officeDocument/2006/relationships/hyperlink" Target="https://ref.ly/Isa14:23" TargetMode="External"/><Relationship Id="rId19" Type="http://schemas.openxmlformats.org/officeDocument/2006/relationships/image" Target="media/image2.png"/><Relationship Id="rId20" Type="http://schemas.openxmlformats.org/officeDocument/2006/relationships/hyperlink" Target="https://ref.ly/Isa22:23" TargetMode="External"/><Relationship Id="rId21" Type="http://schemas.openxmlformats.org/officeDocument/2006/relationships/hyperlink" Target="https://ref.ly/Isa22:25" TargetMode="External"/><Relationship Id="rId22" Type="http://schemas.openxmlformats.org/officeDocument/2006/relationships/hyperlink" Target="https://ref.ly/Ezek15:3" TargetMode="External"/><Relationship Id="rId23" Type="http://schemas.openxmlformats.org/officeDocument/2006/relationships/hyperlink" Target="#" TargetMode="External"/><Relationship Id="rId24" Type="http://schemas.openxmlformats.org/officeDocument/2006/relationships/hyperlink" Target="https://ref.ly/Exod1:16" TargetMode="External"/><Relationship Id="rId25" Type="http://schemas.openxmlformats.org/officeDocument/2006/relationships/hyperlink" Target="https://ref.ly/Jer18: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