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标题：医生和药物（doctors and medicine）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1.15</w:t>
      </w:r>
      <w:r>
        <w:rPr>
          <w:lang w:val="zh_CN" w:bidi="zh_CN"/>
        </w:rPr>
        <w:t xml:space="preserve"> 标题：医生和药物（doctors and medicine）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标题：油、油膏（oil, ointment）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1.15.1</w:t>
      </w:r>
      <w:r>
        <w:rPr>
          <w:lang w:val="zh_CN" w:bidi="zh_CN"/>
        </w:rPr>
        <w:t xml:space="preserve"> 标题：油、油膏（oil, ointment）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来：שֶׁמֶן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(音译：shemen)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希：ἔλαιον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(音译：elaion)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MRK 6:13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LUK 10:34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JAS 5:14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膏油是从橄榄树的果实中提取出来的油。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油能够缓解疼痛和软化伤口。加入其他药用植物的提取物之后，还可以制成药膏。另参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1.10.5 膏油 (anointing oil)&lt;REALIA:1.10.5&gt;</w:t>
        </w:r>
      </w:hyperlink>
      <w:r>
        <w:rPr>
          <w:lang w:val="zh_CN" w:bidi="zh_CN"/>
        </w:rPr>
        <w:t xml:space="preserve"> 和</w:t>
      </w:r>
      <w:hyperlink r:id="rId18">
        <w:r>
          <w:rPr>
            <w:lang w:val="zh_CN" w:bidi="zh_CN"/>
          </w:rPr>
          <w:rPr>
            <w:color w:val="0000EE"/>
            <w:u w:val="single"/>
          </w:rPr>
          <w:t>9.3 橄榄油 (olive oil)&lt;REALIA:9.3&gt;</w:t>
        </w:r>
      </w:hyperlink>
      <w:r>
        <w:rPr>
          <w:lang w:val="zh_CN" w:bidi="zh_CN"/>
        </w:rPr>
        <w:t xml:space="preserve"> 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LUK 10:34</w:t>
        </w:r>
      </w:hyperlink>
      <w:r>
        <w:rPr>
          <w:lang w:val="zh_CN" w:bidi="zh_CN"/>
        </w:rPr>
        <w:t xml:space="preserve"> ，重要的是指出油和酒的药用价值。有些译本明确说明了这样做的目的，“他上前用油和酒倒在他的伤处，并包裹好，以清洁和医治伤处……。”另外，翻译者也可以添加边注来解释葡萄酒的消毒作用，以及油如何帮助伤口愈合。</w:t>
      </w:r>
    </w:p>
    <w:p>
      <w:pPr/>
      <w:r>
        <w:rPr>
          <w:lang w:val="zh_CN" w:bidi="zh_CN"/>
        </w:rPr>
      </w:r>
      <w:r>
        <w:rPr>
          <w:lang w:val="zh_CN" w:bidi="zh_CN"/>
        </w:rPr>
        <w:t>有人提出疑问，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JAS 5:14</w:t>
        </w:r>
      </w:hyperlink>
      <w:r>
        <w:rPr>
          <w:lang w:val="zh_CN" w:bidi="zh_CN"/>
        </w:rPr>
        <w:t xml:space="preserve"> 记载的抹油主要是治疗手段还是属灵的举动？《〈雅各书〉手册》（</w:t>
      </w:r>
      <w:r>
        <w:rPr>
          <w:i/>
          <w:lang w:val="zh_CN" w:bidi="zh_CN"/>
        </w:rPr>
        <w:t>A Handbook on The Letter from James</w:t>
      </w:r>
      <w:r>
        <w:rPr>
          <w:lang w:val="zh_CN" w:bidi="zh_CN"/>
        </w:rPr>
        <w:t xml:space="preserve"> ，第190页）就这个问题论道：“</w:t>
      </w:r>
      <w:r>
        <w:rPr>
          <w:b/>
          <w:lang w:val="zh_CN" w:bidi="zh_CN"/>
        </w:rPr>
        <w:t>抹油</w:t>
      </w:r>
      <w:r>
        <w:rPr>
          <w:lang w:val="zh_CN" w:bidi="zh_CN"/>
        </w:rPr>
        <w:t xml:space="preserve"> 的功效是众所周知的，古人经常把橄榄油用于医治目的；例如，清洁、镇痛和促进伤口愈合（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 ；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  <w:r>
        <w:rPr>
          <w:lang w:val="zh_CN" w:bidi="zh_CN"/>
        </w:rPr>
        <w:t xml:space="preserve"> ；</w:t>
      </w:r>
      <w:hyperlink r:id="rId15">
        <w:r>
          <w:rPr>
            <w:lang w:val="zh_CN" w:bidi="zh_CN"/>
          </w:rPr>
          <w:rPr>
            <w:color w:val="0000EE"/>
            <w:u w:val="single"/>
          </w:rPr>
          <w:t>MRK 6:13</w:t>
        </w:r>
      </w:hyperlink>
      <w:r>
        <w:rPr>
          <w:lang w:val="zh_CN" w:bidi="zh_CN"/>
        </w:rPr>
        <w:t xml:space="preserve"> ；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LUK 10:34</w:t>
        </w:r>
      </w:hyperlink>
      <w:r>
        <w:rPr>
          <w:lang w:val="zh_CN" w:bidi="zh_CN"/>
        </w:rPr>
        <w:t xml:space="preserve"> ）。虽然不能排除这里的抹油是为了医治，但是这其中肯定还有其他缘由。最有可能的是，抹油也有宗教和象征意义，提醒病人在苦难中牢记上帝关心他忠心的子民，以激励和唤醒人的信心。</w:t>
      </w:r>
      <w:r>
        <w:rPr>
          <w:b/>
          <w:lang w:val="zh_CN" w:bidi="zh_CN"/>
        </w:rPr>
        <w:t>奉主的名</w:t>
      </w:r>
      <w:r>
        <w:rPr>
          <w:lang w:val="zh_CN" w:bidi="zh_CN"/>
        </w:rPr>
        <w:t xml:space="preserve"> 抹油证实了这一点。无论如何，这些解释并不会影响到翻译。”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标题：无花果饼（poultice, fig cake）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1.15.2</w:t>
      </w:r>
      <w:r>
        <w:rPr>
          <w:lang w:val="zh_CN" w:bidi="zh_CN"/>
        </w:rPr>
        <w:t xml:space="preserve"> 标题：无花果饼（poultice, fig cake）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来：דְּבֵלָה, תְּאֵנָה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(音译：dveleth t’enim)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38:21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希：μάλαγμα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(音译：malagma)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WIS 16:12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无花果饼是把干无花果压在一起成为块状。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这种干无花果块可以直接吃（参</w:t>
      </w:r>
      <w:hyperlink r:id="rId18">
        <w:r>
          <w:rPr>
            <w:lang w:val="zh_CN" w:bidi="zh_CN"/>
          </w:rPr>
          <w:rPr>
            <w:color w:val="0000EE"/>
            <w:u w:val="single"/>
          </w:rPr>
          <w:t>9.5 水果干压成的饼块 (blocks of pressed dried fruit)&lt;REALIA:9.5&gt;</w:t>
        </w:r>
      </w:hyperlink>
      <w:r>
        <w:rPr>
          <w:lang w:val="zh_CN" w:bidi="zh_CN"/>
        </w:rPr>
        <w:t xml:space="preserve"> ）。干果可以保存很长时间。人们偶尔也把无花果饼贴在皮肤的疖子或脓肿上面，以软化皮肤，达到治疗的目的。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在希西家得医治的故事中（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;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38:21</w:t>
        </w:r>
      </w:hyperlink>
      <w:r>
        <w:rPr>
          <w:lang w:val="zh_CN" w:bidi="zh_CN"/>
        </w:rPr>
        <w:t xml:space="preserve"> ），目前并不确定当时人们如何使用无花果进行治疗。希伯来文短语</w:t>
      </w:r>
      <w:r>
        <w:rPr>
          <w:i/>
          <w:lang w:val="zh_CN" w:bidi="zh_CN"/>
        </w:rPr>
        <w:t>dveleth t’enim</w:t>
      </w:r>
      <w:r>
        <w:rPr>
          <w:lang w:val="zh_CN" w:bidi="zh_CN"/>
        </w:rPr>
        <w:t xml:space="preserve"> 的译法有：“捣碎的无花果”（“mashed figs”；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）、“压碎的无花果糊”（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）、“无花果膏”（“fig-plaster”；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）和“无花果做成的糊”（“paste made of figs”；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）。在无花果不为人所知的地方，翻译者可以说“名为无花果的水果”，或者用当地某种既可以吃，又可以入药的水果来翻译这个词。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21">
        <w:r>
          <w:rPr>
            <w:lang w:val="zh_CN" w:bidi="zh_CN"/>
          </w:rPr>
          <w:rPr>
            <w:color w:val="0000EE"/>
            <w:u w:val="single"/>
          </w:rPr>
          <w:t>WIS 16:12</w:t>
        </w:r>
      </w:hyperlink>
      <w:r>
        <w:rPr>
          <w:lang w:val="zh_CN" w:bidi="zh_CN"/>
        </w:rPr>
        <w:t xml:space="preserve"> 中，希腊文</w:t>
      </w:r>
      <w:r>
        <w:rPr>
          <w:i/>
          <w:lang w:val="zh_CN" w:bidi="zh_CN"/>
        </w:rPr>
        <w:t>malagma</w:t>
      </w:r>
      <w:r>
        <w:rPr>
          <w:lang w:val="zh_CN" w:bidi="zh_CN"/>
        </w:rPr>
        <w:t xml:space="preserve"> 是指一种软化皮肤伤口或疮的敷布。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和</w:t>
      </w:r>
      <w:r>
        <w:rPr>
          <w:lang w:val="zh_CN" w:bidi="zh_CN"/>
        </w:rPr>
        <w:t>TOB</w:t>
      </w:r>
      <w:r>
        <w:rPr>
          <w:lang w:val="zh_CN" w:bidi="zh_CN"/>
        </w:rPr>
        <w:t xml:space="preserve"> 所用的“ointment”（“膏油”）一词有些不准确，而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所用“poultice”（“膏药”）的意思含糊不清。</w:t>
      </w:r>
      <w:r>
        <w:rPr>
          <w:lang w:val="zh_CN" w:bidi="zh_CN"/>
        </w:rPr>
        <w:t>NAB</w:t>
      </w:r>
      <w:r>
        <w:rPr>
          <w:lang w:val="zh_CN" w:bidi="zh_CN"/>
        </w:rPr>
        <w:t xml:space="preserve"> 译成“application”（“敷用药”），这是一个可资借鉴的翻译方式。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的翻译是“绷带”。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标题：眼药膏（eye salve）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1.15.3</w:t>
      </w:r>
      <w:r>
        <w:rPr>
          <w:lang w:val="zh_CN" w:bidi="zh_CN"/>
        </w:rPr>
        <w:t xml:space="preserve"> 标题：眼药膏（eye salve）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希：κολλούριον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(音译：kollourion)</w:t>
      </w:r>
      <w:hyperlink r:id="rId22">
        <w:r>
          <w:rPr>
            <w:lang w:val="zh_CN" w:bidi="zh_CN"/>
          </w:rPr>
          <w:rPr>
            <w:color w:val="0000EE"/>
            <w:u w:val="single"/>
          </w:rPr>
          <w:t>REV 3:18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眼药膏是一种药膏，也可能是粉末。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药膏敷在眼睛上来进行治疗。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如果目标语言没有表示“眼药膏／油膏／软膏”的对等词，希腊文</w:t>
      </w:r>
      <w:r>
        <w:rPr>
          <w:i/>
          <w:lang w:val="zh_CN" w:bidi="zh_CN"/>
        </w:rPr>
        <w:t>kollourion</w:t>
      </w:r>
      <w:r>
        <w:rPr>
          <w:lang w:val="zh_CN" w:bidi="zh_CN"/>
        </w:rPr>
        <w:t xml:space="preserve"> 可以简单地译为“眼药”。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标题：绷带（bandage）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1.15.4</w:t>
      </w:r>
      <w:r>
        <w:rPr>
          <w:lang w:val="zh_CN" w:bidi="zh_CN"/>
        </w:rPr>
        <w:t xml:space="preserve"> 标题：绷带（bandage）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来：אֲפֵר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(音译：’afer)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1KI 20:38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1KI 20:41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来：חִתּוּל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(音译：chitul)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希：καταδέω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(音译：katadeō（动词）)</w:t>
      </w:r>
      <w:hyperlink r:id="rId26">
        <w:r>
          <w:rPr>
            <w:lang w:val="zh_CN" w:bidi="zh_CN"/>
          </w:rPr>
          <w:rPr>
            <w:color w:val="0000EE"/>
            <w:u w:val="single"/>
          </w:rPr>
          <w:t>SIR 27:21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>绷带是一条很长的布，用来缠裹胳膊或腿的骨折处以促其痊愈。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大多数语言都有表示绷带或骨折包扎用具的词语。打石膏这样的现代词语与圣经时代不符，不可以使用。在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 中，希伯来文</w:t>
      </w:r>
      <w:r>
        <w:rPr>
          <w:i/>
          <w:lang w:val="zh_CN" w:bidi="zh_CN"/>
        </w:rPr>
        <w:t>chitul</w:t>
      </w:r>
      <w:r>
        <w:rPr>
          <w:lang w:val="zh_CN" w:bidi="zh_CN"/>
        </w:rPr>
        <w:t xml:space="preserve"> 就是指缠绕在断臂上的东西，而不是指搁放手臂的吊带。然而，这节经文的诗歌体语言是重复性的描述，因此可以进行扩展翻译；例如，这节经文的后半部分可以这样翻译，“无人为他的断臂包扎绷带或放在吊带上，使其能以治愈，可以强健到再次拿起刀剑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的翻译类似）。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标题：药酒、没药酒（drugged wine, myrrhed wine）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1.15.5</w:t>
      </w:r>
      <w:r>
        <w:rPr>
          <w:lang w:val="zh_CN" w:bidi="zh_CN"/>
        </w:rPr>
        <w:t xml:space="preserve"> 标题：药酒、没药酒（drugged wine, myrrhed wine）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希：σμυρνίζω, οἶνος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(音译：esmurnismenos oinos)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MRK 15:23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药酒是混合了没药的葡萄酒，可用来减轻疼痛。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一般来说，希腊文短语</w:t>
      </w:r>
      <w:r>
        <w:rPr>
          <w:i/>
          <w:lang w:val="zh_CN" w:bidi="zh_CN"/>
        </w:rPr>
        <w:t>esmurnismenos oinos</w:t>
      </w:r>
      <w:r>
        <w:rPr>
          <w:lang w:val="zh_CN" w:bidi="zh_CN"/>
        </w:rPr>
        <w:t xml:space="preserve"> 必须用短语或从句来翻译，例如，“混合了一种名叫没药的药物的葡萄酒”，或“混入药物以减轻疼痛的葡萄酒”。另外，翻译者也可以使用“加了没药的葡萄酒”之类的缩略语，然后在脚注中解释其作用。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1:6" TargetMode="External"/><Relationship Id="rId15" Type="http://schemas.openxmlformats.org/officeDocument/2006/relationships/hyperlink" Target="https://ref.ly/Mark6:13" TargetMode="External"/><Relationship Id="rId16" Type="http://schemas.openxmlformats.org/officeDocument/2006/relationships/hyperlink" Target="https://ref.ly/Luke10:34" TargetMode="External"/><Relationship Id="rId17" Type="http://schemas.openxmlformats.org/officeDocument/2006/relationships/hyperlink" Target="https://ref.ly/Jas5:14" TargetMode="External"/><Relationship Id="rId18" Type="http://schemas.openxmlformats.org/officeDocument/2006/relationships/hyperlink" Target="#" TargetMode="External"/><Relationship Id="rId19" Type="http://schemas.openxmlformats.org/officeDocument/2006/relationships/hyperlink" Target="https://ref.ly/2Kgs20:7" TargetMode="External"/><Relationship Id="rId20" Type="http://schemas.openxmlformats.org/officeDocument/2006/relationships/hyperlink" Target="https://ref.ly/Isa38:21" TargetMode="External"/><Relationship Id="rId21" Type="http://schemas.openxmlformats.org/officeDocument/2006/relationships/hyperlink" Target="https://ref.ly/Wis16:12" TargetMode="External"/><Relationship Id="rId22" Type="http://schemas.openxmlformats.org/officeDocument/2006/relationships/hyperlink" Target="https://ref.ly/Rev3:18" TargetMode="External"/><Relationship Id="rId23" Type="http://schemas.openxmlformats.org/officeDocument/2006/relationships/hyperlink" Target="https://ref.ly/1Kgs20:38" TargetMode="External"/><Relationship Id="rId24" Type="http://schemas.openxmlformats.org/officeDocument/2006/relationships/hyperlink" Target="https://ref.ly/1Kgs20:41" TargetMode="External"/><Relationship Id="rId25" Type="http://schemas.openxmlformats.org/officeDocument/2006/relationships/hyperlink" Target="https://ref.ly/Ezek30:21" TargetMode="External"/><Relationship Id="rId26" Type="http://schemas.openxmlformats.org/officeDocument/2006/relationships/hyperlink" Target="https://ref.ly/Sir27:21" TargetMode="External"/><Relationship Id="rId27" Type="http://schemas.openxmlformats.org/officeDocument/2006/relationships/hyperlink" Target="https://ref.ly/Mark15:2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