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Human-made Things in the Bible</w:t>
      </w:r>
      <w:r>
        <w:rPr>
          <w:lang w:val="en_US" w:bidi="en_US"/>
        </w:rPr>
      </w:r>
    </w:p>
    <w:p>
      <w:pPr/>
      <w:r>
        <w:rPr>
          <w:lang w:val="en_US" w:bidi="en_US"/>
        </w:rPr>
      </w:r>
      <w:r>
        <w:rPr>
          <w:lang w:val="en_US" w:bidi="en_US"/>
        </w:rPr>
        <w:t xml:space="preserve">Human-made Things in the Bible © United Bible Societies, 2025. Adapted from: </w:t>
      </w:r>
      <w:r>
        <w:rPr>
          <w:lang w:val="en_US" w:bidi="en_US"/>
        </w:rPr>
        <w:t>The Works of Their Hands: Man-made Things in the Bible</w:t>
      </w:r>
      <w:r>
        <w:rPr>
          <w:lang w:val="en_US" w:bidi="en_US"/>
        </w:rPr>
        <w:t>, by Ray Pritz © 2009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Human-made Things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Musical instruments (generic)</w:t>
      </w:r>
      <w:r>
        <w:rPr>
          <w:lang w:val="en_US" w:bidi="en_US"/>
        </w:rPr>
      </w:r>
    </w:p>
    <w:p>
      <w:pPr>
        <w:pStyle w:val="Heading1"/>
      </w:pPr>
      <w:r>
        <w:rPr>
          <w:lang w:val="en_US" w:bidi="en_US"/>
        </w:rPr>
        <w:t>7.1</w:t>
      </w:r>
      <w:r>
        <w:rPr>
          <w:lang w:val="en_US" w:bidi="en_US"/>
        </w:rPr>
        <w:t xml:space="preserve"> Musical instruments (generic)</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כְּלִי</w:t>
      </w:r>
      <w:r>
        <w:rPr>
          <w:lang w:val="en_US" w:bidi="en_US"/>
        </w:rPr>
        <w:t xml:space="preserve"> </w:t>
      </w:r>
      <w:r>
        <w:rPr>
          <w:lang w:val="en_US" w:bidi="en_US"/>
        </w:rPr>
        <w:t>(kli)</w:t>
      </w:r>
      <w:r>
        <w:rPr>
          <w:lang w:val="en_US" w:bidi="en_US"/>
        </w:rPr>
      </w:r>
      <w:hyperlink r:id="rId14">
        <w:r>
          <w:rPr>
            <w:lang w:val="en_US" w:bidi="en_US"/>
          </w:rPr>
          <w:rPr>
            <w:color w:val="0000EE"/>
            <w:u w:val="single"/>
          </w:rPr>
          <w:t>1CH 16:5</w:t>
        </w:r>
      </w:hyperlink>
      <w:r>
        <w:rPr>
          <w:lang w:val="en_US" w:bidi="en_US"/>
        </w:rPr>
        <w:t xml:space="preserve">, </w:t>
      </w:r>
      <w:hyperlink r:id="rId15">
        <w:r>
          <w:rPr>
            <w:lang w:val="en_US" w:bidi="en_US"/>
          </w:rPr>
          <w:rPr>
            <w:color w:val="0000EE"/>
            <w:u w:val="single"/>
          </w:rPr>
          <w:t>1CH 23:5</w:t>
        </w:r>
      </w:hyperlink>
      <w:r>
        <w:rPr>
          <w:lang w:val="en_US" w:bidi="en_US"/>
        </w:rPr>
        <w:t xml:space="preserve">, </w:t>
      </w:r>
      <w:hyperlink r:id="rId16">
        <w:r>
          <w:rPr>
            <w:lang w:val="en_US" w:bidi="en_US"/>
          </w:rPr>
          <w:rPr>
            <w:color w:val="0000EE"/>
            <w:u w:val="single"/>
          </w:rPr>
          <w:t>PSA 71:22</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כְּלִי</w:t>
      </w:r>
      <w:r>
        <w:rPr>
          <w:lang w:val="en_US" w:bidi="en_US"/>
        </w:rPr>
        <w:t xml:space="preserve"> </w:t>
      </w:r>
      <w:r>
        <w:rPr>
          <w:lang w:val="en_US" w:bidi="en_US"/>
        </w:rPr>
        <w:t>(kle david)</w:t>
      </w:r>
      <w:r>
        <w:rPr>
          <w:lang w:val="en_US" w:bidi="en_US"/>
        </w:rPr>
      </w:r>
      <w:hyperlink r:id="rId17">
        <w:r>
          <w:rPr>
            <w:lang w:val="en_US" w:bidi="en_US"/>
          </w:rPr>
          <w:rPr>
            <w:color w:val="0000EE"/>
            <w:u w:val="single"/>
          </w:rPr>
          <w:t>2CH 29:26</w:t>
        </w:r>
      </w:hyperlink>
      <w:r>
        <w:rPr>
          <w:lang w:val="en_US" w:bidi="en_US"/>
        </w:rPr>
        <w:t xml:space="preserve">, </w:t>
      </w:r>
      <w:hyperlink r:id="rId18">
        <w:r>
          <w:rPr>
            <w:lang w:val="en_US" w:bidi="en_US"/>
          </w:rPr>
          <w:rPr>
            <w:color w:val="0000EE"/>
            <w:u w:val="single"/>
          </w:rPr>
          <w:t>2CH 29:27</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כְּלִי, עֹז</w:t>
      </w:r>
      <w:r>
        <w:rPr>
          <w:lang w:val="en_US" w:bidi="en_US"/>
        </w:rPr>
        <w:t xml:space="preserve"> </w:t>
      </w:r>
      <w:r>
        <w:rPr>
          <w:lang w:val="en_US" w:bidi="en_US"/>
        </w:rPr>
        <w:t>(kle ‘oz)</w:t>
      </w:r>
      <w:r>
        <w:rPr>
          <w:lang w:val="en_US" w:bidi="en_US"/>
        </w:rPr>
      </w:r>
      <w:hyperlink r:id="rId19">
        <w:r>
          <w:rPr>
            <w:lang w:val="en_US" w:bidi="en_US"/>
          </w:rPr>
          <w:rPr>
            <w:color w:val="0000EE"/>
            <w:u w:val="single"/>
          </w:rPr>
          <w:t>2CH 30:21</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כְּלִי, שִׁיר</w:t>
      </w:r>
      <w:r>
        <w:rPr>
          <w:lang w:val="en_US" w:bidi="en_US"/>
        </w:rPr>
        <w:t xml:space="preserve"> </w:t>
      </w:r>
      <w:r>
        <w:rPr>
          <w:lang w:val="en_US" w:bidi="en_US"/>
        </w:rPr>
        <w:t>(kle shir)</w:t>
      </w:r>
      <w:r>
        <w:rPr>
          <w:lang w:val="en_US" w:bidi="en_US"/>
        </w:rPr>
      </w:r>
      <w:hyperlink r:id="rId20">
        <w:r>
          <w:rPr>
            <w:lang w:val="en_US" w:bidi="en_US"/>
          </w:rPr>
          <w:rPr>
            <w:color w:val="0000EE"/>
            <w:u w:val="single"/>
          </w:rPr>
          <w:t>1CH 15:16</w:t>
        </w:r>
      </w:hyperlink>
      <w:r>
        <w:rPr>
          <w:lang w:val="en_US" w:bidi="en_US"/>
        </w:rPr>
        <w:t xml:space="preserve">, </w:t>
      </w:r>
      <w:hyperlink r:id="rId21">
        <w:r>
          <w:rPr>
            <w:lang w:val="en_US" w:bidi="en_US"/>
          </w:rPr>
          <w:rPr>
            <w:color w:val="0000EE"/>
            <w:u w:val="single"/>
          </w:rPr>
          <w:t>1CH 16:42</w:t>
        </w:r>
      </w:hyperlink>
      <w:r>
        <w:rPr>
          <w:lang w:val="en_US" w:bidi="en_US"/>
        </w:rPr>
        <w:t xml:space="preserve">, </w:t>
      </w:r>
      <w:hyperlink r:id="rId22">
        <w:r>
          <w:rPr>
            <w:lang w:val="en_US" w:bidi="en_US"/>
          </w:rPr>
          <w:rPr>
            <w:color w:val="0000EE"/>
            <w:u w:val="single"/>
          </w:rPr>
          <w:t>2CH 5:13</w:t>
        </w:r>
      </w:hyperlink>
      <w:r>
        <w:rPr>
          <w:lang w:val="en_US" w:bidi="en_US"/>
        </w:rPr>
        <w:t xml:space="preserve">, </w:t>
      </w:r>
      <w:hyperlink r:id="rId23">
        <w:r>
          <w:rPr>
            <w:lang w:val="en_US" w:bidi="en_US"/>
          </w:rPr>
          <w:rPr>
            <w:color w:val="0000EE"/>
            <w:u w:val="single"/>
          </w:rPr>
          <w:t>2CH 7:6</w:t>
        </w:r>
      </w:hyperlink>
      <w:r>
        <w:rPr>
          <w:lang w:val="en_US" w:bidi="en_US"/>
        </w:rPr>
        <w:t xml:space="preserve">, </w:t>
      </w:r>
      <w:hyperlink r:id="rId24">
        <w:r>
          <w:rPr>
            <w:lang w:val="en_US" w:bidi="en_US"/>
          </w:rPr>
          <w:rPr>
            <w:color w:val="0000EE"/>
            <w:u w:val="single"/>
          </w:rPr>
          <w:t>2CH 23:13</w:t>
        </w:r>
      </w:hyperlink>
      <w:r>
        <w:rPr>
          <w:lang w:val="en_US" w:bidi="en_US"/>
        </w:rPr>
        <w:t xml:space="preserve">, </w:t>
      </w:r>
      <w:hyperlink r:id="rId25">
        <w:r>
          <w:rPr>
            <w:lang w:val="en_US" w:bidi="en_US"/>
          </w:rPr>
          <w:rPr>
            <w:color w:val="0000EE"/>
            <w:u w:val="single"/>
          </w:rPr>
          <w:t>2CH 34:12</w:t>
        </w:r>
      </w:hyperlink>
      <w:r>
        <w:rPr>
          <w:lang w:val="en_US" w:bidi="en_US"/>
        </w:rPr>
        <w:t xml:space="preserve">, </w:t>
      </w:r>
      <w:hyperlink r:id="rId26">
        <w:r>
          <w:rPr>
            <w:lang w:val="en_US" w:bidi="en_US"/>
          </w:rPr>
          <w:rPr>
            <w:color w:val="0000EE"/>
            <w:u w:val="single"/>
          </w:rPr>
          <w:t>NEH 12:36</w:t>
        </w:r>
      </w:hyperlink>
      <w:r>
        <w:rPr>
          <w:lang w:val="en_US" w:bidi="en_US"/>
        </w:rPr>
        <w:t xml:space="preserve">, </w:t>
      </w:r>
      <w:hyperlink r:id="rId27">
        <w:r>
          <w:rPr>
            <w:lang w:val="en_US" w:bidi="en_US"/>
          </w:rPr>
          <w:rPr>
            <w:color w:val="0000EE"/>
            <w:u w:val="single"/>
          </w:rPr>
          <w:t>AMO 6:5</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מֵן</w:t>
      </w:r>
      <w:r>
        <w:rPr>
          <w:lang w:val="en_US" w:bidi="en_US"/>
        </w:rPr>
        <w:t xml:space="preserve"> </w:t>
      </w:r>
      <w:r>
        <w:rPr>
          <w:lang w:val="en_US" w:bidi="en_US"/>
        </w:rPr>
        <w:t>(men)</w:t>
      </w:r>
      <w:r>
        <w:rPr>
          <w:lang w:val="en_US" w:bidi="en_US"/>
        </w:rPr>
      </w:r>
      <w:hyperlink r:id="rId28">
        <w:r>
          <w:rPr>
            <w:lang w:val="en_US" w:bidi="en_US"/>
          </w:rPr>
          <w:rPr>
            <w:color w:val="0000EE"/>
            <w:u w:val="single"/>
          </w:rPr>
          <w:t>PSA 45:9</w:t>
        </w:r>
      </w:hyperlink>
      <w:r>
        <w:rPr>
          <w:lang w:val="en_US" w:bidi="en_US"/>
        </w:rPr>
        <w:t xml:space="preserve">, </w:t>
      </w:r>
      <w:hyperlink r:id="rId29">
        <w:r>
          <w:rPr>
            <w:lang w:val="en_US" w:bidi="en_US"/>
          </w:rPr>
          <w:rPr>
            <w:color w:val="0000EE"/>
            <w:u w:val="single"/>
          </w:rPr>
          <w:t>PSA 150:4</w:t>
        </w:r>
      </w:hyperlink>
      <w:r>
        <w:rPr>
          <w:lang w:val="en_US" w:bidi="en_US"/>
        </w:rPr>
      </w:r>
      <w:r>
        <w:rPr>
          <w:lang w:val="en_US" w:bidi="en_US"/>
        </w:rPr>
      </w:r>
      <w:r>
        <w:rPr>
          <w:lang w:val="en_US" w:bidi="en_US"/>
        </w:rPr>
      </w:r>
      <w:r>
        <w:rPr>
          <w:lang w:val="en_US" w:bidi="en_US"/>
        </w:rPr>
      </w:r>
    </w:p>
    <w:p>
      <w:pPr>
        <w:pStyle w:val="Heading2"/>
      </w:pPr>
      <w:r>
        <w:rPr>
          <w:lang w:val="en_US" w:bidi="en_US"/>
        </w:rPr>
        <w:t>Description:</w:t>
      </w:r>
      <w:r>
        <w:rPr>
          <w:lang w:val="en_US" w:bidi="en_US"/>
        </w:rPr>
      </w:r>
    </w:p>
    <w:p>
      <w:pPr/>
      <w:r>
        <w:rPr>
          <w:lang w:val="en_US" w:bidi="en_US"/>
        </w:rPr>
      </w:r>
      <w:r>
        <w:rPr>
          <w:lang w:val="en_US" w:bidi="en_US"/>
        </w:rPr>
        <w:t>The terms listed above refer to musical instruments collectively.</w:t>
      </w:r>
      <w:r>
        <w:rPr>
          <w:lang w:val="en_US" w:bidi="en_US"/>
        </w:rPr>
      </w:r>
    </w:p>
    <w:p>
      <w:pPr>
        <w:pBdr>
          <w:bottom w:val="single" w:sz="6" w:space="1" w:color="auto"/>
        </w:pBdr>
      </w:pP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 xml:space="preserve">The Hebrew expression </w:t>
      </w:r>
      <w:r>
        <w:rPr>
          <w:i/>
          <w:lang w:val="en_US" w:bidi="en_US"/>
        </w:rPr>
        <w:t>kle david</w:t>
      </w:r>
      <w:r>
        <w:rPr>
          <w:lang w:val="en_US" w:bidi="en_US"/>
        </w:rPr>
        <w:t xml:space="preserve"> in </w:t>
      </w:r>
      <w:hyperlink r:id="rId17">
        <w:r>
          <w:rPr>
            <w:lang w:val="en_US" w:bidi="en_US"/>
          </w:rPr>
          <w:rPr>
            <w:color w:val="0000EE"/>
            <w:u w:val="single"/>
          </w:rPr>
          <w:t>2CH 29:26</w:t>
        </w:r>
      </w:hyperlink>
      <w:r>
        <w:rPr>
          <w:lang w:val="en_US" w:bidi="en_US"/>
        </w:rPr>
        <w:t xml:space="preserve">; </w:t>
      </w:r>
      <w:hyperlink r:id="rId18">
        <w:r>
          <w:rPr>
            <w:lang w:val="en_US" w:bidi="en_US"/>
          </w:rPr>
          <w:rPr>
            <w:color w:val="0000EE"/>
            <w:u w:val="single"/>
          </w:rPr>
          <w:t>2CH 29:27</w:t>
        </w:r>
      </w:hyperlink>
      <w:r>
        <w:rPr>
          <w:lang w:val="en_US" w:bidi="en_US"/>
        </w:rPr>
        <w:t xml:space="preserve"> associates certain musical instruments with King David. Some translations retain the ambiguity of the Hebrew with “instruments of David” (</w:t>
      </w:r>
      <w:r>
        <w:rPr>
          <w:lang w:val="en_US" w:bidi="en_US"/>
        </w:rPr>
        <w:t>RSV</w:t>
      </w:r>
      <w:r>
        <w:rPr>
          <w:lang w:val="en_US" w:bidi="en_US"/>
        </w:rPr>
        <w:t xml:space="preserve">, </w:t>
      </w:r>
      <w:r>
        <w:rPr>
          <w:lang w:val="en_US" w:bidi="en_US"/>
        </w:rPr>
        <w:t>REB</w:t>
      </w:r>
      <w:r>
        <w:rPr>
          <w:lang w:val="en_US" w:bidi="en_US"/>
        </w:rPr>
        <w:t xml:space="preserve">, </w:t>
      </w:r>
      <w:r>
        <w:rPr>
          <w:lang w:val="en_US" w:bidi="en_US"/>
        </w:rPr>
        <w:t>NJPSV</w:t>
      </w:r>
      <w:r>
        <w:rPr>
          <w:lang w:val="en_US" w:bidi="en_US"/>
        </w:rPr>
        <w:t xml:space="preserve">). </w:t>
      </w:r>
      <w:r>
        <w:rPr>
          <w:lang w:val="en_US" w:bidi="en_US"/>
        </w:rPr>
        <w:t>CEV</w:t>
      </w:r>
      <w:r>
        <w:rPr>
          <w:lang w:val="en_US" w:bidi="en_US"/>
        </w:rPr>
        <w:t xml:space="preserve"> has “instruments that belonged to David,” while </w:t>
      </w:r>
      <w:r>
        <w:rPr>
          <w:lang w:val="en_US" w:bidi="en_US"/>
        </w:rPr>
        <w:t>GNT</w:t>
      </w:r>
      <w:r>
        <w:rPr>
          <w:lang w:val="en_US" w:bidi="en_US"/>
        </w:rPr>
        <w:t xml:space="preserve"> “instruments like those that King David had used” does not assume that David’s own instruments were still in working condition after three hundred years.</w:t>
      </w:r>
      <w:r>
        <w:rPr>
          <w:lang w:val="en_US" w:bidi="en_US"/>
        </w:rPr>
      </w:r>
    </w:p>
    <w:p>
      <w:pPr/>
      <w:r>
        <w:rPr>
          <w:lang w:val="en_US" w:bidi="en_US"/>
        </w:rPr>
      </w:r>
      <w:r>
        <w:rPr>
          <w:lang w:val="en_US" w:bidi="en_US"/>
        </w:rPr>
        <w:t xml:space="preserve">In </w:t>
      </w:r>
      <w:hyperlink r:id="rId19">
        <w:r>
          <w:rPr>
            <w:lang w:val="en_US" w:bidi="en_US"/>
          </w:rPr>
          <w:rPr>
            <w:color w:val="0000EE"/>
            <w:u w:val="single"/>
          </w:rPr>
          <w:t>2CH 30:21</w:t>
        </w:r>
      </w:hyperlink>
      <w:r>
        <w:rPr>
          <w:lang w:val="en_US" w:bidi="en_US"/>
        </w:rPr>
        <w:t xml:space="preserve"> the Hebrew expression </w:t>
      </w:r>
      <w:r>
        <w:rPr>
          <w:i/>
          <w:lang w:val="en_US" w:bidi="en_US"/>
        </w:rPr>
        <w:t>kle ‘oz</w:t>
      </w:r>
      <w:r>
        <w:rPr>
          <w:lang w:val="en_US" w:bidi="en_US"/>
        </w:rPr>
        <w:t xml:space="preserve"> has been understood in various ways. Some take it to refer to instruments (</w:t>
      </w:r>
      <w:r>
        <w:rPr>
          <w:lang w:val="en_US" w:bidi="en_US"/>
        </w:rPr>
        <w:t>NJPSV</w:t>
      </w:r>
      <w:r>
        <w:rPr>
          <w:lang w:val="en_US" w:bidi="en_US"/>
        </w:rPr>
        <w:t xml:space="preserve"> “powerful instruments,” </w:t>
      </w:r>
      <w:r>
        <w:rPr>
          <w:lang w:val="en_US" w:bidi="en_US"/>
        </w:rPr>
        <w:t>CEV</w:t>
      </w:r>
      <w:r>
        <w:rPr>
          <w:lang w:val="en_US" w:bidi="en_US"/>
        </w:rPr>
        <w:t xml:space="preserve"> “instruments”; compare </w:t>
      </w:r>
      <w:r>
        <w:rPr>
          <w:lang w:val="en_US" w:bidi="en_US"/>
        </w:rPr>
        <w:t>NCV</w:t>
      </w:r>
      <w:r>
        <w:rPr>
          <w:lang w:val="en_US" w:bidi="en_US"/>
        </w:rPr>
        <w:t xml:space="preserve"> “loud music”). Others take the phrase to describe the atmosphere of praise (</w:t>
      </w:r>
      <w:r>
        <w:rPr>
          <w:lang w:val="en_US" w:bidi="en_US"/>
        </w:rPr>
        <w:t>REB</w:t>
      </w:r>
      <w:r>
        <w:rPr>
          <w:lang w:val="en_US" w:bidi="en_US"/>
        </w:rPr>
        <w:t xml:space="preserve"> “unrestrained fervour,” </w:t>
      </w:r>
      <w:r>
        <w:rPr>
          <w:lang w:val="en_US" w:bidi="en_US"/>
        </w:rPr>
        <w:t>GNT</w:t>
      </w:r>
      <w:r>
        <w:rPr>
          <w:lang w:val="en_US" w:bidi="en_US"/>
        </w:rPr>
        <w:t xml:space="preserve"> “all their strength”). This latter interpretation is based on a minor emendation of the text to make it agree with </w:t>
      </w:r>
      <w:hyperlink r:id="rId30">
        <w:r>
          <w:rPr>
            <w:lang w:val="en_US" w:bidi="en_US"/>
          </w:rPr>
          <w:rPr>
            <w:color w:val="0000EE"/>
            <w:u w:val="single"/>
          </w:rPr>
          <w:t>1CH 13:8</w:t>
        </w:r>
      </w:hyperlink>
      <w:r>
        <w:rPr>
          <w:lang w:val="en_US" w:bidi="en_US"/>
        </w:rPr>
        <w:t xml:space="preserve">, but </w:t>
      </w:r>
      <w:r>
        <w:rPr>
          <w:lang w:val="en_US" w:bidi="en_US"/>
        </w:rPr>
        <w:t>HOTTP</w:t>
      </w:r>
      <w:r>
        <w:rPr>
          <w:lang w:val="en_US" w:bidi="en_US"/>
        </w:rPr>
        <w:t xml:space="preserve"> does not recommend it.</w:t>
      </w:r>
      <w:r>
        <w:rPr>
          <w:lang w:val="en_US" w:bidi="en_US"/>
        </w:rPr>
      </w:r>
    </w:p>
    <w:p>
      <w:pPr/>
      <w:r>
        <w:rPr>
          <w:lang w:val="en_US" w:bidi="en_US"/>
        </w:rPr>
      </w:r>
      <w:r>
        <w:rPr>
          <w:lang w:val="en_US" w:bidi="en_US"/>
        </w:rPr>
      </w:r>
      <w:hyperlink r:id="rId31">
        <w:r>
          <w:rPr>
            <w:lang w:val="en_US" w:bidi="en_US"/>
          </w:rPr>
          <w:rPr>
            <w:color w:val="0000EE"/>
            <w:u w:val="single"/>
          </w:rPr>
          <w:t>PSA 150:3</w:t>
        </w:r>
      </w:hyperlink>
      <w:r>
        <w:rPr>
          <w:lang w:val="en_US" w:bidi="en_US"/>
        </w:rPr>
        <w:t xml:space="preserve">; </w:t>
      </w:r>
      <w:hyperlink r:id="rId29">
        <w:r>
          <w:rPr>
            <w:lang w:val="en_US" w:bidi="en_US"/>
          </w:rPr>
          <w:rPr>
            <w:color w:val="0000EE"/>
            <w:u w:val="single"/>
          </w:rPr>
          <w:t>PSA 150:4</w:t>
        </w:r>
      </w:hyperlink>
      <w:r>
        <w:rPr>
          <w:lang w:val="en_US" w:bidi="en_US"/>
        </w:rPr>
        <w:t xml:space="preserve">; </w:t>
      </w:r>
      <w:hyperlink r:id="rId32">
        <w:r>
          <w:rPr>
            <w:lang w:val="en_US" w:bidi="en_US"/>
          </w:rPr>
          <w:rPr>
            <w:color w:val="0000EE"/>
            <w:u w:val="single"/>
          </w:rPr>
          <w:t>PSA 150:5</w:t>
        </w:r>
      </w:hyperlink>
      <w:r>
        <w:rPr>
          <w:lang w:val="en_US" w:bidi="en_US"/>
        </w:rPr>
        <w:t xml:space="preserve"> lists several musical instruments. The trumpets were played by the priests; the Levites played the harps, lyres, and cymbals; and the other instruments (verse 4) were played by lay people. In verse 4 the Hebrew word </w:t>
      </w:r>
      <w:r>
        <w:rPr>
          <w:i/>
          <w:lang w:val="en_US" w:bidi="en_US"/>
        </w:rPr>
        <w:t>men</w:t>
      </w:r>
      <w:r>
        <w:rPr>
          <w:lang w:val="en_US" w:bidi="en_US"/>
        </w:rPr>
        <w:t xml:space="preserve"> probably refers to “stringed instruments.” The translation of the Hebrew terms for these musical instruments is usually handled in one of three ways: (a) by using descriptive phrases; (b) by using local instruments; or (c) by using generic terms accompanied by a loan word. An illustration of the first way would be to translate “cymbals” as “flat metal plates that were struck together.” An example of the third way would be to render the same word as “percussion instruments called cymbals.”</w:t>
      </w:r>
      <w:r>
        <w:rPr>
          <w:lang w:val="en_US" w:bidi="en_US"/>
        </w:rPr>
      </w:r>
    </w:p>
    <w:p>
      <w:pPr/>
      <w:r>
        <w:rPr>
          <w:lang w:val="en_US" w:bidi="en_US"/>
        </w:rPr>
      </w:r>
      <w:r>
        <w:rPr>
          <w:lang w:val="en_US" w:bidi="en_US"/>
        </w:rPr>
        <w:t xml:space="preserve">In </w:t>
      </w:r>
      <w:hyperlink r:id="rId33">
        <w:r>
          <w:rPr>
            <w:lang w:val="en_US" w:bidi="en_US"/>
          </w:rPr>
          <w:rPr>
            <w:color w:val="0000EE"/>
            <w:u w:val="single"/>
          </w:rPr>
          <w:t>DAN 3:5</w:t>
        </w:r>
      </w:hyperlink>
      <w:r>
        <w:rPr>
          <w:lang w:val="en_US" w:bidi="en_US"/>
        </w:rPr>
        <w:t xml:space="preserve">; </w:t>
      </w:r>
      <w:hyperlink r:id="rId34">
        <w:r>
          <w:rPr>
            <w:lang w:val="en_US" w:bidi="en_US"/>
          </w:rPr>
          <w:rPr>
            <w:color w:val="0000EE"/>
            <w:u w:val="single"/>
          </w:rPr>
          <w:t>DAN 3:7</w:t>
        </w:r>
      </w:hyperlink>
      <w:r>
        <w:rPr>
          <w:lang w:val="en_US" w:bidi="en_US"/>
        </w:rPr>
        <w:t xml:space="preserve">; </w:t>
      </w:r>
      <w:hyperlink r:id="rId35">
        <w:r>
          <w:rPr>
            <w:lang w:val="en_US" w:bidi="en_US"/>
          </w:rPr>
          <w:rPr>
            <w:color w:val="0000EE"/>
            <w:u w:val="single"/>
          </w:rPr>
          <w:t>DAN 3:10</w:t>
        </w:r>
      </w:hyperlink>
      <w:r>
        <w:rPr>
          <w:lang w:val="en_US" w:bidi="en_US"/>
        </w:rPr>
        <w:t xml:space="preserve">; </w:t>
      </w:r>
      <w:hyperlink r:id="rId36">
        <w:r>
          <w:rPr>
            <w:lang w:val="en_US" w:bidi="en_US"/>
          </w:rPr>
          <w:rPr>
            <w:color w:val="0000EE"/>
            <w:u w:val="single"/>
          </w:rPr>
          <w:t>DAN 3:15</w:t>
        </w:r>
      </w:hyperlink>
      <w:r>
        <w:rPr>
          <w:lang w:val="en_US" w:bidi="en_US"/>
        </w:rPr>
        <w:t xml:space="preserve">, the writer gives a list of six different musical instruments. In many languages where such instruments are not well known, this poses serious translation problems. If it proves impossible to have the same number of instruments as in the biblical text, the number may be reduced (in some manuscripts there are only five names here); however, lists are an important characteristic of the book of Daniel, and it is recommended that a list of instruments be maintained here and not replaced by a summary expression, such as “the band” in </w:t>
      </w:r>
      <w:r>
        <w:rPr>
          <w:lang w:val="en_US" w:bidi="en_US"/>
        </w:rPr>
        <w:t>LB</w:t>
      </w:r>
      <w:r>
        <w:rPr>
          <w:lang w:val="en_US" w:bidi="en_US"/>
        </w:rPr>
        <w:t>.</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ref.ly/1Chr16:5" TargetMode="External"/><Relationship Id="rId15" Type="http://schemas.openxmlformats.org/officeDocument/2006/relationships/hyperlink" Target="https://ref.ly/1Chr23:5" TargetMode="External"/><Relationship Id="rId16" Type="http://schemas.openxmlformats.org/officeDocument/2006/relationships/hyperlink" Target="https://ref.ly/Ps71:22" TargetMode="External"/><Relationship Id="rId17" Type="http://schemas.openxmlformats.org/officeDocument/2006/relationships/hyperlink" Target="https://ref.ly/2Chr29:26" TargetMode="External"/><Relationship Id="rId18" Type="http://schemas.openxmlformats.org/officeDocument/2006/relationships/hyperlink" Target="https://ref.ly/2Chr29:27" TargetMode="External"/><Relationship Id="rId19" Type="http://schemas.openxmlformats.org/officeDocument/2006/relationships/hyperlink" Target="https://ref.ly/2Chr30:21" TargetMode="External"/><Relationship Id="rId20" Type="http://schemas.openxmlformats.org/officeDocument/2006/relationships/hyperlink" Target="https://ref.ly/1Chr15:16" TargetMode="External"/><Relationship Id="rId21" Type="http://schemas.openxmlformats.org/officeDocument/2006/relationships/hyperlink" Target="https://ref.ly/1Chr16:42" TargetMode="External"/><Relationship Id="rId22" Type="http://schemas.openxmlformats.org/officeDocument/2006/relationships/hyperlink" Target="https://ref.ly/2Chr5:13" TargetMode="External"/><Relationship Id="rId23" Type="http://schemas.openxmlformats.org/officeDocument/2006/relationships/hyperlink" Target="https://ref.ly/2Chr7:6" TargetMode="External"/><Relationship Id="rId24" Type="http://schemas.openxmlformats.org/officeDocument/2006/relationships/hyperlink" Target="https://ref.ly/2Chr23:13" TargetMode="External"/><Relationship Id="rId25" Type="http://schemas.openxmlformats.org/officeDocument/2006/relationships/hyperlink" Target="https://ref.ly/2Chr34:12" TargetMode="External"/><Relationship Id="rId26" Type="http://schemas.openxmlformats.org/officeDocument/2006/relationships/hyperlink" Target="https://ref.ly/Neh12:36" TargetMode="External"/><Relationship Id="rId27" Type="http://schemas.openxmlformats.org/officeDocument/2006/relationships/hyperlink" Target="https://ref.ly/Amos6:5" TargetMode="External"/><Relationship Id="rId28" Type="http://schemas.openxmlformats.org/officeDocument/2006/relationships/hyperlink" Target="https://ref.ly/Ps45:9" TargetMode="External"/><Relationship Id="rId29" Type="http://schemas.openxmlformats.org/officeDocument/2006/relationships/hyperlink" Target="https://ref.ly/Ps150:4" TargetMode="External"/><Relationship Id="rId30" Type="http://schemas.openxmlformats.org/officeDocument/2006/relationships/hyperlink" Target="https://ref.ly/1Chr13:8" TargetMode="External"/><Relationship Id="rId31" Type="http://schemas.openxmlformats.org/officeDocument/2006/relationships/hyperlink" Target="https://ref.ly/Ps150:3" TargetMode="External"/><Relationship Id="rId32" Type="http://schemas.openxmlformats.org/officeDocument/2006/relationships/hyperlink" Target="https://ref.ly/Ps150:5" TargetMode="External"/><Relationship Id="rId33" Type="http://schemas.openxmlformats.org/officeDocument/2006/relationships/hyperlink" Target="https://ref.ly/Dan3:5" TargetMode="External"/><Relationship Id="rId34" Type="http://schemas.openxmlformats.org/officeDocument/2006/relationships/hyperlink" Target="https://ref.ly/Dan3:7" TargetMode="External"/><Relationship Id="rId35" Type="http://schemas.openxmlformats.org/officeDocument/2006/relationships/hyperlink" Target="https://ref.ly/Dan3:10" TargetMode="External"/><Relationship Id="rId36" Type="http://schemas.openxmlformats.org/officeDocument/2006/relationships/hyperlink" Target="https://ref.ly/Dan3:15"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