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Sling</w:t>
      </w:r>
      <w:r>
        <w:rPr>
          <w:lang w:val="en_US" w:bidi="en_US"/>
        </w:rPr>
      </w:r>
    </w:p>
    <w:p>
      <w:pPr>
        <w:pStyle w:val="Heading1"/>
      </w:pPr>
      <w:r>
        <w:rPr>
          <w:lang w:val="en_US" w:bidi="en_US"/>
        </w:rPr>
        <w:t>2.2</w:t>
      </w:r>
      <w:r>
        <w:rPr>
          <w:lang w:val="en_US" w:bidi="en_US"/>
        </w:rPr>
        <w:t xml:space="preserve"> Sling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מַרְגֵּמָה</w:t>
      </w:r>
      <w:r>
        <w:rPr>
          <w:lang w:val="en_US" w:bidi="en_US"/>
        </w:rPr>
        <w:t xml:space="preserve"> </w:t>
      </w:r>
      <w:r>
        <w:rPr>
          <w:lang w:val="en_US" w:bidi="en_US"/>
        </w:rPr>
        <w:t>(margemah)</w:t>
      </w:r>
      <w:r>
        <w:rPr>
          <w:lang w:val="en_US" w:bidi="en_US"/>
        </w:rPr>
      </w:r>
      <w:hyperlink r:id="rId14">
        <w:r>
          <w:rPr>
            <w:lang w:val="en_US" w:bidi="en_US"/>
          </w:rPr>
          <w:rPr>
            <w:color w:val="0000EE"/>
            <w:u w:val="single"/>
          </w:rPr>
          <w:t>PRO 26:8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קלע, קֶלַע, קַלָּע</w:t>
      </w:r>
      <w:r>
        <w:rPr>
          <w:lang w:val="en_US" w:bidi="en_US"/>
        </w:rPr>
        <w:t xml:space="preserve"> </w:t>
      </w:r>
      <w:r>
        <w:rPr>
          <w:lang w:val="en_US" w:bidi="en_US"/>
        </w:rPr>
        <w:t>(qala‘ (verb or noun), qela‘)</w:t>
      </w:r>
      <w:r>
        <w:rPr>
          <w:lang w:val="en_US" w:bidi="en_US"/>
        </w:rPr>
      </w:r>
      <w:hyperlink r:id="rId15">
        <w:r>
          <w:rPr>
            <w:lang w:val="en_US" w:bidi="en_US"/>
          </w:rPr>
          <w:rPr>
            <w:color w:val="0000EE"/>
            <w:u w:val="single"/>
          </w:rPr>
          <w:t>JDG 20:16</w:t>
        </w:r>
      </w:hyperlink>
      <w:r>
        <w:rPr>
          <w:lang w:val="en_US" w:bidi="en_US"/>
        </w:rPr>
        <w:t xml:space="preserve">, </w:t>
      </w:r>
      <w:hyperlink r:id="rId16">
        <w:r>
          <w:rPr>
            <w:lang w:val="en_US" w:bidi="en_US"/>
          </w:rPr>
          <w:rPr>
            <w:color w:val="0000EE"/>
            <w:u w:val="single"/>
          </w:rPr>
          <w:t>1SA 17:40</w:t>
        </w:r>
      </w:hyperlink>
      <w:r>
        <w:rPr>
          <w:lang w:val="en_US" w:bidi="en_US"/>
        </w:rPr>
        <w:t xml:space="preserve">, </w:t>
      </w:r>
      <w:hyperlink r:id="rId17">
        <w:r>
          <w:rPr>
            <w:lang w:val="en_US" w:bidi="en_US"/>
          </w:rPr>
          <w:rPr>
            <w:color w:val="0000EE"/>
            <w:u w:val="single"/>
          </w:rPr>
          <w:t>1SA 17:49</w:t>
        </w:r>
      </w:hyperlink>
      <w:r>
        <w:rPr>
          <w:lang w:val="en_US" w:bidi="en_US"/>
        </w:rPr>
        <w:t xml:space="preserve">, </w:t>
      </w:r>
      <w:hyperlink r:id="rId18">
        <w:r>
          <w:rPr>
            <w:lang w:val="en_US" w:bidi="en_US"/>
          </w:rPr>
          <w:rPr>
            <w:color w:val="0000EE"/>
            <w:u w:val="single"/>
          </w:rPr>
          <w:t>1SA 17:50</w:t>
        </w:r>
      </w:hyperlink>
      <w:r>
        <w:rPr>
          <w:lang w:val="en_US" w:bidi="en_US"/>
        </w:rPr>
        <w:t xml:space="preserve">, </w:t>
      </w:r>
      <w:hyperlink r:id="rId19">
        <w:r>
          <w:rPr>
            <w:lang w:val="en_US" w:bidi="en_US"/>
          </w:rPr>
          <w:rPr>
            <w:color w:val="0000EE"/>
            <w:u w:val="single"/>
          </w:rPr>
          <w:t>1SA 25:29</w:t>
        </w:r>
      </w:hyperlink>
      <w:r>
        <w:rPr>
          <w:lang w:val="en_US" w:bidi="en_US"/>
        </w:rPr>
        <w:t xml:space="preserve">, </w:t>
      </w:r>
      <w:hyperlink r:id="rId20">
        <w:r>
          <w:rPr>
            <w:lang w:val="en_US" w:bidi="en_US"/>
          </w:rPr>
          <w:rPr>
            <w:color w:val="0000EE"/>
            <w:u w:val="single"/>
          </w:rPr>
          <w:t>2KI 3:25</w:t>
        </w:r>
      </w:hyperlink>
      <w:r>
        <w:rPr>
          <w:lang w:val="en_US" w:bidi="en_US"/>
        </w:rPr>
        <w:t xml:space="preserve">, </w:t>
      </w:r>
      <w:hyperlink r:id="rId21">
        <w:r>
          <w:rPr>
            <w:lang w:val="en_US" w:bidi="en_US"/>
          </w:rPr>
          <w:rPr>
            <w:color w:val="0000EE"/>
            <w:u w:val="single"/>
          </w:rPr>
          <w:t>2CH 26:14</w:t>
        </w:r>
      </w:hyperlink>
      <w:r>
        <w:rPr>
          <w:lang w:val="en_US" w:bidi="en_US"/>
        </w:rPr>
        <w:t xml:space="preserve">, </w:t>
      </w:r>
      <w:hyperlink r:id="rId22">
        <w:r>
          <w:rPr>
            <w:lang w:val="en_US" w:bidi="en_US"/>
          </w:rPr>
          <w:rPr>
            <w:color w:val="0000EE"/>
            <w:u w:val="single"/>
          </w:rPr>
          <w:t>JOB 41:20</w:t>
        </w:r>
      </w:hyperlink>
      <w:r>
        <w:rPr>
          <w:lang w:val="en_US" w:bidi="en_US"/>
        </w:rPr>
        <w:t xml:space="preserve">, </w:t>
      </w:r>
      <w:hyperlink r:id="rId23">
        <w:r>
          <w:rPr>
            <w:lang w:val="en_US" w:bidi="en_US"/>
          </w:rPr>
          <w:rPr>
            <w:color w:val="0000EE"/>
            <w:u w:val="single"/>
          </w:rPr>
          <w:t>ZEC 9:15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σφενδόνη, σφενδονήτης</w:t>
      </w:r>
      <w:r>
        <w:rPr>
          <w:lang w:val="en_US" w:bidi="en_US"/>
        </w:rPr>
        <w:t xml:space="preserve"> </w:t>
      </w:r>
      <w:r>
        <w:rPr>
          <w:lang w:val="en_US" w:bidi="en_US"/>
        </w:rPr>
        <w:t>(sfendonē, sfendonētēs)</w:t>
      </w:r>
      <w:r>
        <w:rPr>
          <w:lang w:val="en_US" w:bidi="en_US"/>
        </w:rPr>
      </w:r>
      <w:hyperlink r:id="rId24">
        <w:r>
          <w:rPr>
            <w:lang w:val="en_US" w:bidi="en_US"/>
          </w:rPr>
          <w:rPr>
            <w:color w:val="0000EE"/>
            <w:u w:val="single"/>
          </w:rPr>
          <w:t>JDT 6:12</w:t>
        </w:r>
      </w:hyperlink>
      <w:r>
        <w:rPr>
          <w:lang w:val="en_US" w:bidi="en_US"/>
        </w:rPr>
        <w:t xml:space="preserve">, </w:t>
      </w:r>
      <w:hyperlink r:id="rId25">
        <w:r>
          <w:rPr>
            <w:lang w:val="en_US" w:bidi="en_US"/>
          </w:rPr>
          <w:rPr>
            <w:color w:val="0000EE"/>
            <w:u w:val="single"/>
          </w:rPr>
          <w:t>JDT 9:7</w:t>
        </w:r>
      </w:hyperlink>
      <w:r>
        <w:rPr>
          <w:lang w:val="en_US" w:bidi="en_US"/>
        </w:rPr>
        <w:t xml:space="preserve">, </w:t>
      </w:r>
      <w:hyperlink r:id="rId26">
        <w:r>
          <w:rPr>
            <w:lang w:val="en_US" w:bidi="en_US"/>
          </w:rPr>
          <w:rPr>
            <w:color w:val="0000EE"/>
            <w:u w:val="single"/>
          </w:rPr>
          <w:t>SIR 47:4</w:t>
        </w:r>
      </w:hyperlink>
      <w:r>
        <w:rPr>
          <w:lang w:val="en_US" w:bidi="en_US"/>
        </w:rPr>
        <w:t xml:space="preserve">, </w:t>
      </w:r>
      <w:hyperlink r:id="rId27">
        <w:r>
          <w:rPr>
            <w:lang w:val="en_US" w:bidi="en_US"/>
          </w:rPr>
          <w:rPr>
            <w:color w:val="0000EE"/>
            <w:u w:val="single"/>
          </w:rPr>
          <w:t>1MA 6:51</w:t>
        </w:r>
      </w:hyperlink>
      <w:r>
        <w:rPr>
          <w:lang w:val="en_US" w:bidi="en_US"/>
        </w:rPr>
        <w:t xml:space="preserve">, </w:t>
      </w:r>
      <w:hyperlink r:id="rId28">
        <w:r>
          <w:rPr>
            <w:lang w:val="en_US" w:bidi="en_US"/>
          </w:rPr>
          <w:rPr>
            <w:color w:val="0000EE"/>
            <w:u w:val="single"/>
          </w:rPr>
          <w:t>1MA 9:11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 sling with rounded sling stones (Assyrian Gallery, British Museum) (Gary Todd, worldhistorypics.weebly.com, CC0)</w:t>
      </w:r>
      <w:r>
        <w:rPr>
          <w:lang w:val="en_US" w:bidi="en_US"/>
        </w:rPr>
        <w:t>The sling was a small rectangular or oval piece of leather or woven material with cords attached to the two ends. The leather or cloth was slightly smaller than a man’s hand, and the cords were about the length of an arm.</w:t>
      </w:r>
      <w:r>
        <w:rPr>
          <w:lang w:val="en_US" w:bidi="en_US"/>
        </w:rPr>
      </w:r>
    </w:p>
    <w:p>
      <w:r>
        <w:drawing>
          <wp:inline xmlns:a="http://schemas.openxmlformats.org/drawingml/2006/main" xmlns:pic="http://schemas.openxmlformats.org/drawingml/2006/picture">
            <wp:extent cx="6096000" cy="7956128"/>
            <wp:docPr id="1" name="Picture 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795612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Relief of Assyrian soldiers using slings (British Museum) (© Mike Peel (www.mikepeel.net)., CC BY-SA 4.0, via Wikimedia Commons)</w:t>
      </w:r>
      <w:r>
        <w:rPr>
          <w:lang w:val="en_US" w:bidi="en_US"/>
        </w:rPr>
        <w:t>The sling was used to project a stone at high velocity at a target. The stone was placed in the pouch formed by the leather or cloth. The slinger grasped the ends of the cords and swung the stone in rapid circles. By releasing one of the cords at just the right moment, the pouch was opened and the stone was projected toward the target. Effective use of the sling required much practice.</w:t>
      </w:r>
      <w:r>
        <w:rPr>
          <w:lang w:val="en_US" w:bidi="en_US"/>
        </w:rPr>
      </w:r>
    </w:p>
    <w:p>
      <w:r>
        <w:drawing>
          <wp:inline xmlns:a="http://schemas.openxmlformats.org/drawingml/2006/main" xmlns:pic="http://schemas.openxmlformats.org/drawingml/2006/picture">
            <wp:extent cx="1463040" cy="2258649"/>
            <wp:docPr id="2" name="Picture 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463040" cy="225864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If possible, translators should avoid using a word that will be under­stood as a modern slingshot or catapult made with pieces of rubber. In </w:t>
      </w:r>
      <w:hyperlink r:id="rId21">
        <w:r>
          <w:rPr>
            <w:lang w:val="en_US" w:bidi="en_US"/>
          </w:rPr>
          <w:rPr>
            <w:color w:val="0000EE"/>
            <w:u w:val="single"/>
          </w:rPr>
          <w:t>2CH 26:14</w:t>
        </w:r>
      </w:hyperlink>
      <w:r>
        <w:rPr>
          <w:lang w:val="en_US" w:bidi="en_US"/>
        </w:rPr>
        <w:t xml:space="preserve">; </w:t>
      </w:r>
      <w:hyperlink r:id="rId31">
        <w:r>
          <w:rPr>
            <w:lang w:val="en_US" w:bidi="en_US"/>
          </w:rPr>
          <w:rPr>
            <w:color w:val="0000EE"/>
            <w:u w:val="single"/>
          </w:rPr>
          <w:t>JOB 41:28</w:t>
        </w:r>
      </w:hyperlink>
      <w:r>
        <w:rPr>
          <w:lang w:val="en_US" w:bidi="en_US"/>
        </w:rPr>
        <w:t xml:space="preserve">; and </w:t>
      </w:r>
      <w:hyperlink r:id="rId23">
        <w:r>
          <w:rPr>
            <w:lang w:val="en_US" w:bidi="en_US"/>
          </w:rPr>
          <w:rPr>
            <w:color w:val="0000EE"/>
            <w:u w:val="single"/>
          </w:rPr>
          <w:t>ZEC 9:15</w:t>
        </w:r>
      </w:hyperlink>
      <w:r>
        <w:rPr>
          <w:lang w:val="en_US" w:bidi="en_US"/>
        </w:rPr>
        <w:t xml:space="preserve">, the focus is actually on the stones and not on the weapon. In these passages the translator may avoid mentioning the sling; for example in </w:t>
      </w:r>
      <w:hyperlink r:id="rId31">
        <w:r>
          <w:rPr>
            <w:lang w:val="en_US" w:bidi="en_US"/>
          </w:rPr>
          <w:rPr>
            <w:color w:val="0000EE"/>
            <w:u w:val="single"/>
          </w:rPr>
          <w:t>JOB 41:28</w:t>
        </w:r>
      </w:hyperlink>
      <w:r>
        <w:rPr>
          <w:lang w:val="en_US" w:bidi="en_US"/>
        </w:rPr>
        <w:t xml:space="preserve"> b </w:t>
      </w:r>
      <w:r>
        <w:rPr>
          <w:lang w:val="en_US" w:bidi="en_US"/>
        </w:rPr>
        <w:t>GNT</w:t>
      </w:r>
      <w:r>
        <w:rPr>
          <w:lang w:val="en_US" w:bidi="en_US"/>
        </w:rPr>
        <w:t xml:space="preserve"> has “rocks thrown at him are like bits of straw.”</w:t>
      </w:r>
      <w:r>
        <w:rPr>
          <w:lang w:val="en_US" w:bidi="en_US"/>
        </w:rPr>
      </w:r>
    </w:p>
    <w:p>
      <w:pPr/>
      <w:r>
        <w:rPr>
          <w:lang w:val="en_US" w:bidi="en_US"/>
        </w:rPr>
      </w:r>
      <w:r>
        <w:rPr>
          <w:lang w:val="en_US" w:bidi="en_US"/>
        </w:rPr>
        <w:t xml:space="preserve">The Greek word </w:t>
      </w:r>
      <w:r>
        <w:rPr>
          <w:i/>
          <w:lang w:val="en_US" w:bidi="en_US"/>
        </w:rPr>
        <w:t>sfendonētēs</w:t>
      </w:r>
      <w:r>
        <w:rPr>
          <w:lang w:val="en_US" w:bidi="en_US"/>
        </w:rPr>
        <w:t xml:space="preserve"> in </w:t>
      </w:r>
      <w:hyperlink r:id="rId24">
        <w:r>
          <w:rPr>
            <w:lang w:val="en_US" w:bidi="en_US"/>
          </w:rPr>
          <w:rPr>
            <w:color w:val="0000EE"/>
            <w:u w:val="single"/>
          </w:rPr>
          <w:t>JDT 6:12</w:t>
        </w:r>
      </w:hyperlink>
      <w:r>
        <w:rPr>
          <w:lang w:val="en_US" w:bidi="en_US"/>
        </w:rPr>
        <w:t xml:space="preserve"> and </w:t>
      </w:r>
      <w:hyperlink r:id="rId28">
        <w:r>
          <w:rPr>
            <w:lang w:val="en_US" w:bidi="en_US"/>
          </w:rPr>
          <w:rPr>
            <w:color w:val="0000EE"/>
            <w:u w:val="single"/>
          </w:rPr>
          <w:t>1MA 9:11</w:t>
        </w:r>
      </w:hyperlink>
      <w:r>
        <w:rPr>
          <w:lang w:val="en_US" w:bidi="en_US"/>
        </w:rPr>
        <w:t xml:space="preserve"> describes not the weapon but the person who uses it, the “slinger.” In </w:t>
      </w:r>
      <w:hyperlink r:id="rId24">
        <w:r>
          <w:rPr>
            <w:lang w:val="en_US" w:bidi="en_US"/>
          </w:rPr>
          <w:rPr>
            <w:color w:val="0000EE"/>
            <w:u w:val="single"/>
          </w:rPr>
          <w:t>JDT 6:12</w:t>
        </w:r>
      </w:hyperlink>
      <w:r>
        <w:rPr>
          <w:lang w:val="en_US" w:bidi="en_US"/>
        </w:rPr>
        <w:t>GNT</w:t>
      </w:r>
      <w:r>
        <w:rPr>
          <w:lang w:val="en_US" w:bidi="en_US"/>
        </w:rPr>
        <w:t xml:space="preserve"> says “who used a sling as a weapon.”</w:t>
      </w:r>
      <w:r>
        <w:rPr>
          <w:lang w:val="en_US" w:bidi="en_US"/>
        </w:rPr>
      </w:r>
    </w:p>
    <w:p>
      <w:pPr/>
      <w:r>
        <w:rPr>
          <w:lang w:val="en_US" w:bidi="en_US"/>
        </w:rPr>
      </w:r>
      <w:r>
        <w:rPr>
          <w:lang w:val="en_US" w:bidi="en_US"/>
        </w:rPr>
        <w:t>Where such a weapon is unknown, it may be possible to say “a special weapon for throwing stones.”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26:8" TargetMode="External"/><Relationship Id="rId15" Type="http://schemas.openxmlformats.org/officeDocument/2006/relationships/hyperlink" Target="https://ref.ly/Judg20:16" TargetMode="External"/><Relationship Id="rId16" Type="http://schemas.openxmlformats.org/officeDocument/2006/relationships/hyperlink" Target="https://ref.ly/1Sam17:40" TargetMode="External"/><Relationship Id="rId17" Type="http://schemas.openxmlformats.org/officeDocument/2006/relationships/hyperlink" Target="https://ref.ly/1Sam17:49" TargetMode="External"/><Relationship Id="rId18" Type="http://schemas.openxmlformats.org/officeDocument/2006/relationships/hyperlink" Target="https://ref.ly/1Sam17:50" TargetMode="External"/><Relationship Id="rId19" Type="http://schemas.openxmlformats.org/officeDocument/2006/relationships/hyperlink" Target="https://ref.ly/1Sam25:29" TargetMode="External"/><Relationship Id="rId20" Type="http://schemas.openxmlformats.org/officeDocument/2006/relationships/hyperlink" Target="https://ref.ly/2Kgs3:25" TargetMode="External"/><Relationship Id="rId21" Type="http://schemas.openxmlformats.org/officeDocument/2006/relationships/hyperlink" Target="https://ref.ly/2Chr26:14" TargetMode="External"/><Relationship Id="rId22" Type="http://schemas.openxmlformats.org/officeDocument/2006/relationships/hyperlink" Target="https://ref.ly/Job41:20" TargetMode="External"/><Relationship Id="rId23" Type="http://schemas.openxmlformats.org/officeDocument/2006/relationships/hyperlink" Target="https://ref.ly/Zech9:15" TargetMode="External"/><Relationship Id="rId24" Type="http://schemas.openxmlformats.org/officeDocument/2006/relationships/hyperlink" Target="https://ref.ly/Jdt6:12" TargetMode="External"/><Relationship Id="rId25" Type="http://schemas.openxmlformats.org/officeDocument/2006/relationships/hyperlink" Target="https://ref.ly/Jdt9:7" TargetMode="External"/><Relationship Id="rId26" Type="http://schemas.openxmlformats.org/officeDocument/2006/relationships/hyperlink" Target="https://ref.ly/Sir47:4" TargetMode="External"/><Relationship Id="rId27" Type="http://schemas.openxmlformats.org/officeDocument/2006/relationships/hyperlink" Target="https://ref.ly/1Macc6:51" TargetMode="External"/><Relationship Id="rId28" Type="http://schemas.openxmlformats.org/officeDocument/2006/relationships/hyperlink" Target="https://ref.ly/1Macc9:11" TargetMode="External"/><Relationship Id="rId29" Type="http://schemas.openxmlformats.org/officeDocument/2006/relationships/image" Target="media/image1.jpg"/><Relationship Id="rId30" Type="http://schemas.openxmlformats.org/officeDocument/2006/relationships/image" Target="media/image2.jpg"/><Relationship Id="rId31" Type="http://schemas.openxmlformats.org/officeDocument/2006/relationships/hyperlink" Target="https://ref.ly/Job41: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