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Judgment seat, tribunal</w:t>
      </w:r>
      <w:r>
        <w:rPr>
          <w:lang w:val="en_US" w:bidi="en_US"/>
        </w:rPr>
      </w:r>
    </w:p>
    <w:p>
      <w:pPr>
        <w:pStyle w:val="Heading1"/>
      </w:pPr>
      <w:r>
        <w:rPr>
          <w:lang w:val="en_US" w:bidi="en_US"/>
        </w:rPr>
        <w:t>3.19</w:t>
      </w:r>
      <w:r>
        <w:rPr>
          <w:lang w:val="en_US" w:bidi="en_US"/>
        </w:rPr>
        <w:t xml:space="preserve"> Judgment seat, tribunal</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βῆμα</w:t>
      </w:r>
      <w:r>
        <w:rPr>
          <w:lang w:val="en_US" w:bidi="en_US"/>
        </w:rPr>
        <w:t xml:space="preserve"> </w:t>
      </w:r>
      <w:r>
        <w:rPr>
          <w:lang w:val="en_US" w:bidi="en_US"/>
        </w:rPr>
        <w:t>(bēma)</w:t>
      </w:r>
      <w:r>
        <w:rPr>
          <w:lang w:val="en_US" w:bidi="en_US"/>
        </w:rPr>
      </w:r>
      <w:hyperlink r:id="rId14">
        <w:r>
          <w:rPr>
            <w:lang w:val="en_US" w:bidi="en_US"/>
          </w:rPr>
          <w:rPr>
            <w:color w:val="0000EE"/>
            <w:u w:val="single"/>
          </w:rPr>
          <w:t>MAT 27:19</w:t>
        </w:r>
      </w:hyperlink>
      <w:r>
        <w:rPr>
          <w:lang w:val="en_US" w:bidi="en_US"/>
        </w:rPr>
        <w:t xml:space="preserve">, </w:t>
      </w:r>
      <w:hyperlink r:id="rId15">
        <w:r>
          <w:rPr>
            <w:lang w:val="en_US" w:bidi="en_US"/>
          </w:rPr>
          <w:rPr>
            <w:color w:val="0000EE"/>
            <w:u w:val="single"/>
          </w:rPr>
          <w:t>JHN 19:13</w:t>
        </w:r>
      </w:hyperlink>
      <w:r>
        <w:rPr>
          <w:lang w:val="en_US" w:bidi="en_US"/>
        </w:rPr>
        <w:t xml:space="preserve">, </w:t>
      </w:r>
      <w:hyperlink r:id="rId16">
        <w:r>
          <w:rPr>
            <w:lang w:val="en_US" w:bidi="en_US"/>
          </w:rPr>
          <w:rPr>
            <w:color w:val="0000EE"/>
            <w:u w:val="single"/>
          </w:rPr>
          <w:t>ACT 12:21</w:t>
        </w:r>
      </w:hyperlink>
      <w:r>
        <w:rPr>
          <w:lang w:val="en_US" w:bidi="en_US"/>
        </w:rPr>
        <w:t xml:space="preserve">, </w:t>
      </w:r>
      <w:hyperlink r:id="rId17">
        <w:r>
          <w:rPr>
            <w:lang w:val="en_US" w:bidi="en_US"/>
          </w:rPr>
          <w:rPr>
            <w:color w:val="0000EE"/>
            <w:u w:val="single"/>
          </w:rPr>
          <w:t>ACT 18:12</w:t>
        </w:r>
      </w:hyperlink>
      <w:r>
        <w:rPr>
          <w:lang w:val="en_US" w:bidi="en_US"/>
        </w:rPr>
        <w:t xml:space="preserve">, </w:t>
      </w:r>
      <w:hyperlink r:id="rId18">
        <w:r>
          <w:rPr>
            <w:lang w:val="en_US" w:bidi="en_US"/>
          </w:rPr>
          <w:rPr>
            <w:color w:val="0000EE"/>
            <w:u w:val="single"/>
          </w:rPr>
          <w:t>ACT 18:16</w:t>
        </w:r>
      </w:hyperlink>
      <w:r>
        <w:rPr>
          <w:lang w:val="en_US" w:bidi="en_US"/>
        </w:rPr>
        <w:t xml:space="preserve">, </w:t>
      </w:r>
      <w:hyperlink r:id="rId19">
        <w:r>
          <w:rPr>
            <w:lang w:val="en_US" w:bidi="en_US"/>
          </w:rPr>
          <w:rPr>
            <w:color w:val="0000EE"/>
            <w:u w:val="single"/>
          </w:rPr>
          <w:t>ACT 18:17</w:t>
        </w:r>
      </w:hyperlink>
      <w:r>
        <w:rPr>
          <w:lang w:val="en_US" w:bidi="en_US"/>
        </w:rPr>
        <w:t xml:space="preserve">, </w:t>
      </w:r>
      <w:hyperlink r:id="rId20">
        <w:r>
          <w:rPr>
            <w:lang w:val="en_US" w:bidi="en_US"/>
          </w:rPr>
          <w:rPr>
            <w:color w:val="0000EE"/>
            <w:u w:val="single"/>
          </w:rPr>
          <w:t>ACT 25:6</w:t>
        </w:r>
      </w:hyperlink>
      <w:r>
        <w:rPr>
          <w:lang w:val="en_US" w:bidi="en_US"/>
        </w:rPr>
        <w:t xml:space="preserve">, </w:t>
      </w:r>
      <w:hyperlink r:id="rId21">
        <w:r>
          <w:rPr>
            <w:lang w:val="en_US" w:bidi="en_US"/>
          </w:rPr>
          <w:rPr>
            <w:color w:val="0000EE"/>
            <w:u w:val="single"/>
          </w:rPr>
          <w:t>ACT 25:10</w:t>
        </w:r>
      </w:hyperlink>
      <w:r>
        <w:rPr>
          <w:lang w:val="en_US" w:bidi="en_US"/>
        </w:rPr>
        <w:t xml:space="preserve">, </w:t>
      </w:r>
      <w:hyperlink r:id="rId22">
        <w:r>
          <w:rPr>
            <w:lang w:val="en_US" w:bidi="en_US"/>
          </w:rPr>
          <w:rPr>
            <w:color w:val="0000EE"/>
            <w:u w:val="single"/>
          </w:rPr>
          <w:t>ACT 25:17</w:t>
        </w:r>
      </w:hyperlink>
      <w:r>
        <w:rPr>
          <w:lang w:val="en_US" w:bidi="en_US"/>
        </w:rPr>
        <w:t xml:space="preserve">, </w:t>
      </w:r>
      <w:hyperlink r:id="rId23">
        <w:r>
          <w:rPr>
            <w:lang w:val="en_US" w:bidi="en_US"/>
          </w:rPr>
          <w:rPr>
            <w:color w:val="0000EE"/>
            <w:u w:val="single"/>
          </w:rPr>
          <w:t>ROM 14:10</w:t>
        </w:r>
      </w:hyperlink>
      <w:r>
        <w:rPr>
          <w:lang w:val="en_US" w:bidi="en_US"/>
        </w:rPr>
        <w:t xml:space="preserve">, </w:t>
      </w:r>
      <w:hyperlink r:id="rId24">
        <w:r>
          <w:rPr>
            <w:lang w:val="en_US" w:bidi="en_US"/>
          </w:rPr>
          <w:rPr>
            <w:color w:val="0000EE"/>
            <w:u w:val="single"/>
          </w:rPr>
          <w:t>2CO 5:10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δίφρος</w:t>
      </w:r>
      <w:r>
        <w:rPr>
          <w:lang w:val="en_US" w:bidi="en_US"/>
        </w:rPr>
        <w:t xml:space="preserve"> </w:t>
      </w:r>
      <w:r>
        <w:rPr>
          <w:lang w:val="en_US" w:bidi="en_US"/>
        </w:rPr>
        <w:t>(difros)</w:t>
      </w:r>
      <w:r>
        <w:rPr>
          <w:lang w:val="en_US" w:bidi="en_US"/>
        </w:rPr>
      </w:r>
      <w:hyperlink r:id="rId25">
        <w:r>
          <w:rPr>
            <w:lang w:val="en_US" w:bidi="en_US"/>
          </w:rPr>
          <w:rPr>
            <w:color w:val="0000EE"/>
            <w:u w:val="single"/>
          </w:rPr>
          <w:t>SIR 38:33</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sedes iudicii</w:t>
      </w:r>
      <w:r>
        <w:rPr>
          <w:lang w:val="en_US" w:bidi="en_US"/>
        </w:rPr>
      </w:r>
      <w:hyperlink r:id="rId26">
        <w:r>
          <w:rPr>
            <w:lang w:val="en_US" w:bidi="en_US"/>
          </w:rPr>
          <w:rPr>
            <w:color w:val="0000EE"/>
            <w:u w:val="single"/>
          </w:rPr>
          <w:t>2ES 7:33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tribunal was a raised platform mounted by steps and usually furnished with a seat. It was used by officials in addressing an assembly, often on judicial matters. One tribunal excavated in Corinth (and possibly the same one mentioned in </w:t>
      </w:r>
      <w:hyperlink r:id="rId17">
        <w:r>
          <w:rPr>
            <w:lang w:val="en_US" w:bidi="en_US"/>
          </w:rPr>
          <w:rPr>
            <w:color w:val="0000EE"/>
            <w:u w:val="single"/>
          </w:rPr>
          <w:t>ACT 18:12</w:t>
        </w:r>
      </w:hyperlink>
      <w:r>
        <w:rPr>
          <w:lang w:val="en_US" w:bidi="en_US"/>
        </w:rPr>
        <w:t>) was a small platform supported by stone blocks and with a narrow railing around the top.</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association of the Greek word </w:t>
      </w:r>
      <w:r>
        <w:rPr>
          <w:i/>
          <w:lang w:val="en_US" w:bidi="en_US"/>
        </w:rPr>
        <w:t>bēma</w:t>
      </w:r>
      <w:r>
        <w:rPr>
          <w:lang w:val="en_US" w:bidi="en_US"/>
        </w:rPr>
        <w:t xml:space="preserve"> with judicial procedures means that there is almost always an important component of judicial function associated with this term. The focus upon judgment is particularly important in those passages that refer to the judgment seat of God (</w:t>
      </w:r>
      <w:hyperlink r:id="rId23">
        <w:r>
          <w:rPr>
            <w:lang w:val="en_US" w:bidi="en_US"/>
          </w:rPr>
          <w:rPr>
            <w:color w:val="0000EE"/>
            <w:u w:val="single"/>
          </w:rPr>
          <w:t>ROM 14:10</w:t>
        </w:r>
      </w:hyperlink>
      <w:r>
        <w:rPr>
          <w:lang w:val="en_US" w:bidi="en_US"/>
        </w:rPr>
        <w:t>) and of Christ (</w:t>
      </w:r>
      <w:hyperlink r:id="rId24">
        <w:r>
          <w:rPr>
            <w:lang w:val="en_US" w:bidi="en_US"/>
          </w:rPr>
          <w:rPr>
            <w:color w:val="0000EE"/>
            <w:u w:val="single"/>
          </w:rPr>
          <w:t>2CO 5:10</w:t>
        </w:r>
      </w:hyperlink>
      <w:r>
        <w:rPr>
          <w:lang w:val="en_US" w:bidi="en_US"/>
        </w:rPr>
        <w:t>). However, in those passages where a historical judicial event is in focus (all of the references in the Gospels and Acts), it will not usually be necessary to specify the place of judgment in translation. The following models illustrate this: “While Pilate was judging the case” (</w:t>
      </w:r>
      <w:hyperlink r:id="rId14">
        <w:r>
          <w:rPr>
            <w:lang w:val="en_US" w:bidi="en_US"/>
          </w:rPr>
          <w:rPr>
            <w:color w:val="0000EE"/>
            <w:u w:val="single"/>
          </w:rPr>
          <w:t>MAT 27:19</w:t>
        </w:r>
      </w:hyperlink>
      <w:r>
        <w:rPr>
          <w:lang w:val="en_US" w:bidi="en_US"/>
        </w:rPr>
        <w:t xml:space="preserve"> in </w:t>
      </w:r>
      <w:r>
        <w:rPr>
          <w:lang w:val="en_US" w:bidi="en_US"/>
        </w:rPr>
        <w:t>CEV</w:t>
      </w:r>
      <w:r>
        <w:rPr>
          <w:lang w:val="en_US" w:bidi="en_US"/>
        </w:rPr>
        <w:t>), “took him into court” (</w:t>
      </w:r>
      <w:hyperlink r:id="rId17">
        <w:r>
          <w:rPr>
            <w:lang w:val="en_US" w:bidi="en_US"/>
          </w:rPr>
          <w:rPr>
            <w:color w:val="0000EE"/>
            <w:u w:val="single"/>
          </w:rPr>
          <w:t>ACT 18:12</w:t>
        </w:r>
      </w:hyperlink>
      <w:r>
        <w:rPr>
          <w:lang w:val="en_US" w:bidi="en_US"/>
        </w:rPr>
        <w:t xml:space="preserve"> in </w:t>
      </w:r>
      <w:r>
        <w:rPr>
          <w:lang w:val="en_US" w:bidi="en_US"/>
        </w:rPr>
        <w:t>GNT</w:t>
      </w:r>
      <w:r>
        <w:rPr>
          <w:lang w:val="en_US" w:bidi="en_US"/>
        </w:rPr>
        <w:t>), and “he opened the legal proceedings” (</w:t>
      </w:r>
      <w:hyperlink r:id="rId20">
        <w:r>
          <w:rPr>
            <w:lang w:val="en_US" w:bidi="en_US"/>
          </w:rPr>
          <w:rPr>
            <w:color w:val="0000EE"/>
            <w:u w:val="single"/>
          </w:rPr>
          <w:t>ACT 25:6</w:t>
        </w:r>
      </w:hyperlink>
      <w:r>
        <w:rPr>
          <w:lang w:val="en_US" w:bidi="en_US"/>
        </w:rPr>
        <w:t xml:space="preserve"> in </w:t>
      </w:r>
      <w:r>
        <w:rPr>
          <w:lang w:val="en_US" w:bidi="en_US"/>
        </w:rPr>
        <w:t>GECL</w:t>
      </w:r>
      <w:r>
        <w:rPr>
          <w:lang w:val="en_US" w:bidi="en_US"/>
        </w:rPr>
        <w:t>).</w:t>
      </w:r>
      <w:r>
        <w:rPr>
          <w:lang w:val="en_US" w:bidi="en_US"/>
        </w:rPr>
      </w:r>
    </w:p>
    <w:p>
      <w:pPr/>
      <w:r>
        <w:rPr>
          <w:lang w:val="en_US" w:bidi="en_US"/>
        </w:rPr>
      </w:r>
      <w:r>
        <w:rPr>
          <w:lang w:val="en_US" w:bidi="en_US"/>
        </w:rPr>
        <w:t>If translators wish to preserve the idea of a specific place of judgment, it is possible to use a phrase such as “place where a judge decides,” “place where decisions are made,” or “judge’s seat.”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Matt27:19" TargetMode="External"/><Relationship Id="rId15" Type="http://schemas.openxmlformats.org/officeDocument/2006/relationships/hyperlink" Target="https://ref.ly/John19:13" TargetMode="External"/><Relationship Id="rId16" Type="http://schemas.openxmlformats.org/officeDocument/2006/relationships/hyperlink" Target="https://ref.ly/Acts12:21" TargetMode="External"/><Relationship Id="rId17" Type="http://schemas.openxmlformats.org/officeDocument/2006/relationships/hyperlink" Target="https://ref.ly/Acts18:12" TargetMode="External"/><Relationship Id="rId18" Type="http://schemas.openxmlformats.org/officeDocument/2006/relationships/hyperlink" Target="https://ref.ly/Acts18:16" TargetMode="External"/><Relationship Id="rId19" Type="http://schemas.openxmlformats.org/officeDocument/2006/relationships/hyperlink" Target="https://ref.ly/Acts18:17" TargetMode="External"/><Relationship Id="rId20" Type="http://schemas.openxmlformats.org/officeDocument/2006/relationships/hyperlink" Target="https://ref.ly/Acts25:6" TargetMode="External"/><Relationship Id="rId21" Type="http://schemas.openxmlformats.org/officeDocument/2006/relationships/hyperlink" Target="https://ref.ly/Acts25:10" TargetMode="External"/><Relationship Id="rId22" Type="http://schemas.openxmlformats.org/officeDocument/2006/relationships/hyperlink" Target="https://ref.ly/Acts25:17" TargetMode="External"/><Relationship Id="rId23" Type="http://schemas.openxmlformats.org/officeDocument/2006/relationships/hyperlink" Target="https://ref.ly/Rom14:10" TargetMode="External"/><Relationship Id="rId24" Type="http://schemas.openxmlformats.org/officeDocument/2006/relationships/hyperlink" Target="https://ref.ly/2Cor5:10" TargetMode="External"/><Relationship Id="rId25" Type="http://schemas.openxmlformats.org/officeDocument/2006/relationships/hyperlink" Target="https://ref.ly/Sir38:33" TargetMode="External"/><Relationship Id="rId26" Type="http://schemas.openxmlformats.org/officeDocument/2006/relationships/hyperlink" Target="https://ref.ly/2Esd7: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