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标题：战斧（battle-axe）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2.8</w:t>
      </w:r>
      <w:r>
        <w:rPr>
          <w:lang w:val="zh_CN" w:bidi="zh_CN"/>
        </w:rPr>
        <w:t xml:space="preserve"> 标题：战斧（battle-axe）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来：סגר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(音译：sgor)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双头战斧 (Jebulon, CC0, via Wikimedia Commons)</w:t>
      </w:r>
      <w:r>
        <w:rPr>
          <w:lang w:val="zh_CN" w:bidi="zh_CN"/>
        </w:rPr>
        <w:t>战斧有一个手柄，长约人身高的一半，装上金属制成的斧头，斧头的两边都磨出锋利的刃。士兵可以用战斧进行近距离搏斗，并且可以在不改变抓握手势的情况下，朝两个方向挥舞。插图所示为斧刃的一种可能形状。</w:t>
      </w:r>
    </w:p>
    <w:p>
      <w:r>
        <w:drawing>
          <wp:inline xmlns:a="http://schemas.openxmlformats.org/drawingml/2006/main" xmlns:pic="http://schemas.openxmlformats.org/drawingml/2006/picture">
            <wp:extent cx="1828800" cy="1924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sgor</w:t>
      </w:r>
      <w:r>
        <w:rPr>
          <w:lang w:val="zh_CN" w:bidi="zh_CN"/>
        </w:rPr>
        <w:t xml:space="preserve"> 似乎是祈使语气动词，意思是“关闭、切断”，因此《七十士译本》将其理解为“俘虏、囚禁”。很多译本把它视为第二种武器，紧随前面提及的剑之后，并且大多翻译为“投枪”（“javelin”；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）。不过，《〈诗篇〉手册》（</w:t>
      </w:r>
      <w:r>
        <w:rPr>
          <w:i/>
          <w:lang w:val="zh_CN" w:bidi="zh_CN"/>
        </w:rPr>
        <w:t>A Handbook on Psalms</w:t>
      </w:r>
      <w:r>
        <w:rPr>
          <w:lang w:val="zh_CN" w:bidi="zh_CN"/>
        </w:rPr>
        <w:t xml:space="preserve"> ，第329页）指出，昆兰古卷有证据显示，</w:t>
      </w:r>
      <w:r>
        <w:rPr>
          <w:i/>
          <w:lang w:val="zh_CN" w:bidi="zh_CN"/>
        </w:rPr>
        <w:t>sgor</w:t>
      </w:r>
      <w:r>
        <w:rPr>
          <w:lang w:val="zh_CN" w:bidi="zh_CN"/>
        </w:rPr>
        <w:t xml:space="preserve"> 是一种用于作战的斧子。有几个译本（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）采纳了这种解释。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引用昆兰古卷将这个词译为“pike”（“长矛”），这是一种比较长的枪，以戳刺攻敌。本手册建议采用“战斧”这个译法。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35:3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