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Lampstand</w:t>
      </w:r>
      <w:r>
        <w:rPr>
          <w:lang w:val="en_US" w:bidi="en_US"/>
        </w:rPr>
      </w:r>
    </w:p>
    <w:p>
      <w:pPr>
        <w:pStyle w:val="Heading1"/>
      </w:pPr>
      <w:r>
        <w:rPr>
          <w:lang w:val="en_US" w:bidi="en_US"/>
        </w:rPr>
        <w:t>5.2</w:t>
      </w:r>
      <w:r>
        <w:rPr>
          <w:lang w:val="en_US" w:bidi="en_US"/>
        </w:rPr>
        <w:t xml:space="preserve"> Lampstand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מְנוֹרָה</w:t>
      </w:r>
      <w:r>
        <w:rPr>
          <w:lang w:val="en_US" w:bidi="en_US"/>
        </w:rPr>
        <w:t xml:space="preserve"> </w:t>
      </w:r>
      <w:r>
        <w:rPr>
          <w:lang w:val="en_US" w:bidi="en_US"/>
        </w:rPr>
        <w:t>(mnorah)</w:t>
      </w:r>
      <w:r>
        <w:rPr>
          <w:lang w:val="en_US" w:bidi="en_US"/>
        </w:rPr>
      </w:r>
      <w:hyperlink r:id="rId14">
        <w:r>
          <w:rPr>
            <w:lang w:val="en_US" w:bidi="en_US"/>
          </w:rPr>
          <w:rPr>
            <w:color w:val="0000EE"/>
            <w:u w:val="single"/>
          </w:rPr>
          <w:t>2KI 4:10</w:t>
        </w:r>
      </w:hyperlink>
      <w:r>
        <w:rPr>
          <w:lang w:val="en_US" w:bidi="en_US"/>
        </w:rPr>
        <w:t xml:space="preserve">, </w:t>
      </w:r>
      <w:hyperlink r:id="rId15">
        <w:r>
          <w:rPr>
            <w:lang w:val="en_US" w:bidi="en_US"/>
          </w:rPr>
          <w:rPr>
            <w:color w:val="0000EE"/>
            <w:u w:val="single"/>
          </w:rPr>
          <w:t>ZEC 4:2</w:t>
        </w:r>
      </w:hyperlink>
      <w:r>
        <w:rPr>
          <w:lang w:val="en_US" w:bidi="en_US"/>
        </w:rPr>
        <w:t xml:space="preserve">, </w:t>
      </w:r>
      <w:hyperlink r:id="rId16">
        <w:r>
          <w:rPr>
            <w:lang w:val="en_US" w:bidi="en_US"/>
          </w:rPr>
          <w:rPr>
            <w:color w:val="0000EE"/>
            <w:u w:val="single"/>
          </w:rPr>
          <w:t>ZEC 4:11</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נֶבְרְשָׁה</w:t>
      </w:r>
      <w:r>
        <w:rPr>
          <w:lang w:val="en_US" w:bidi="en_US"/>
        </w:rPr>
        <w:t xml:space="preserve"> </w:t>
      </w:r>
      <w:r>
        <w:rPr>
          <w:lang w:val="en_US" w:bidi="en_US"/>
        </w:rPr>
        <w:t>(nevrshah)</w:t>
      </w:r>
      <w:r>
        <w:rPr>
          <w:lang w:val="en_US" w:bidi="en_US"/>
        </w:rPr>
      </w:r>
      <w:hyperlink r:id="rId17">
        <w:r>
          <w:rPr>
            <w:lang w:val="en_US" w:bidi="en_US"/>
          </w:rPr>
          <w:rPr>
            <w:color w:val="0000EE"/>
            <w:u w:val="single"/>
          </w:rPr>
          <w:t>DAN 5:5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λυχνία</w:t>
      </w:r>
      <w:r>
        <w:rPr>
          <w:lang w:val="en_US" w:bidi="en_US"/>
        </w:rPr>
        <w:t xml:space="preserve"> </w:t>
      </w:r>
      <w:r>
        <w:rPr>
          <w:lang w:val="en_US" w:bidi="en_US"/>
        </w:rPr>
        <w:t>(luchnia)</w:t>
      </w:r>
      <w:r>
        <w:rPr>
          <w:lang w:val="en_US" w:bidi="en_US"/>
        </w:rPr>
      </w:r>
      <w:hyperlink r:id="rId18">
        <w:r>
          <w:rPr>
            <w:lang w:val="en_US" w:bidi="en_US"/>
          </w:rPr>
          <w:rPr>
            <w:color w:val="0000EE"/>
            <w:u w:val="single"/>
          </w:rPr>
          <w:t>MAT 5:15</w:t>
        </w:r>
      </w:hyperlink>
      <w:r>
        <w:rPr>
          <w:lang w:val="en_US" w:bidi="en_US"/>
        </w:rPr>
        <w:t xml:space="preserve">, </w:t>
      </w:r>
      <w:hyperlink r:id="rId19">
        <w:r>
          <w:rPr>
            <w:lang w:val="en_US" w:bidi="en_US"/>
          </w:rPr>
          <w:rPr>
            <w:color w:val="0000EE"/>
            <w:u w:val="single"/>
          </w:rPr>
          <w:t>MRK 4:21</w:t>
        </w:r>
      </w:hyperlink>
      <w:r>
        <w:rPr>
          <w:lang w:val="en_US" w:bidi="en_US"/>
        </w:rPr>
        <w:t xml:space="preserve">, </w:t>
      </w:r>
      <w:hyperlink r:id="rId20">
        <w:r>
          <w:rPr>
            <w:lang w:val="en_US" w:bidi="en_US"/>
          </w:rPr>
          <w:rPr>
            <w:color w:val="0000EE"/>
            <w:u w:val="single"/>
          </w:rPr>
          <w:t>LUK 8:16</w:t>
        </w:r>
      </w:hyperlink>
      <w:r>
        <w:rPr>
          <w:lang w:val="en_US" w:bidi="en_US"/>
        </w:rPr>
        <w:t xml:space="preserve">, </w:t>
      </w:r>
      <w:hyperlink r:id="rId21">
        <w:r>
          <w:rPr>
            <w:lang w:val="en_US" w:bidi="en_US"/>
          </w:rPr>
          <w:rPr>
            <w:color w:val="0000EE"/>
            <w:u w:val="single"/>
          </w:rPr>
          <w:t>LUK 11:33</w:t>
        </w:r>
      </w:hyperlink>
      <w:r>
        <w:rPr>
          <w:lang w:val="en_US" w:bidi="en_US"/>
        </w:rPr>
        <w:t xml:space="preserve">, </w:t>
      </w:r>
      <w:hyperlink r:id="rId22">
        <w:r>
          <w:rPr>
            <w:lang w:val="en_US" w:bidi="en_US"/>
          </w:rPr>
          <w:rPr>
            <w:color w:val="0000EE"/>
            <w:u w:val="single"/>
          </w:rPr>
          <w:t>REV 1:13</w:t>
        </w:r>
      </w:hyperlink>
      <w:r>
        <w:rPr>
          <w:lang w:val="en_US" w:bidi="en_US"/>
        </w:rPr>
        <w:t xml:space="preserve">, </w:t>
      </w:r>
      <w:hyperlink r:id="rId23">
        <w:r>
          <w:rPr>
            <w:lang w:val="en_US" w:bidi="en_US"/>
          </w:rPr>
          <w:rPr>
            <w:color w:val="0000EE"/>
            <w:u w:val="single"/>
          </w:rPr>
          <w:t>REV 1:20</w:t>
        </w:r>
      </w:hyperlink>
      <w:r>
        <w:rPr>
          <w:lang w:val="en_US" w:bidi="en_US"/>
        </w:rPr>
        <w:t xml:space="preserve">, </w:t>
      </w:r>
      <w:hyperlink r:id="rId23">
        <w:r>
          <w:rPr>
            <w:lang w:val="en_US" w:bidi="en_US"/>
          </w:rPr>
          <w:rPr>
            <w:color w:val="0000EE"/>
            <w:u w:val="single"/>
          </w:rPr>
          <w:t>REV 1:20</w:t>
        </w:r>
      </w:hyperlink>
      <w:r>
        <w:rPr>
          <w:lang w:val="en_US" w:bidi="en_US"/>
        </w:rPr>
        <w:t xml:space="preserve">, </w:t>
      </w:r>
      <w:hyperlink r:id="rId24">
        <w:r>
          <w:rPr>
            <w:lang w:val="en_US" w:bidi="en_US"/>
          </w:rPr>
          <w:rPr>
            <w:color w:val="0000EE"/>
            <w:u w:val="single"/>
          </w:rPr>
          <w:t>REV 2:1</w:t>
        </w:r>
      </w:hyperlink>
      <w:r>
        <w:rPr>
          <w:lang w:val="en_US" w:bidi="en_US"/>
        </w:rPr>
        <w:t xml:space="preserve">, </w:t>
      </w:r>
      <w:hyperlink r:id="rId25">
        <w:r>
          <w:rPr>
            <w:lang w:val="en_US" w:bidi="en_US"/>
          </w:rPr>
          <w:rPr>
            <w:color w:val="0000EE"/>
            <w:u w:val="single"/>
          </w:rPr>
          <w:t>REV 2:5</w:t>
        </w:r>
      </w:hyperlink>
      <w:r>
        <w:rPr>
          <w:lang w:val="en_US" w:bidi="en_US"/>
        </w:rPr>
        <w:t xml:space="preserve">, </w:t>
      </w:r>
      <w:hyperlink r:id="rId26">
        <w:r>
          <w:rPr>
            <w:lang w:val="en_US" w:bidi="en_US"/>
          </w:rPr>
          <w:rPr>
            <w:color w:val="0000EE"/>
            <w:u w:val="single"/>
          </w:rPr>
          <w:t>REV 11:4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Lampstands (© Deutsche Bibelgesellschaft, Stuttgart by United Bible Societies)</w:t>
      </w:r>
      <w:r>
        <w:rPr>
          <w:lang w:val="en_US" w:bidi="en_US"/>
        </w:rPr>
        <w:t xml:space="preserve">The lampstand was a stand designed to hold a single lamp or a series of lamps. It could be made of a variety of materials and took various shapes and sizes. Its purpose was to raise the light higher than the level of the floor or table and so light a larger area. For the lampstand in the Tabernacle, see </w:t>
      </w:r>
      <w:hyperlink r:id="rId28">
        <w:r>
          <w:rPr>
            <w:lang w:val="en_US" w:bidi="en_US"/>
          </w:rPr>
          <w:rPr>
            <w:color w:val="0000EE"/>
            <w:u w:val="single"/>
          </w:rPr>
          <w:t>4.3.4 Lampstand, menorah&lt;REALIA:4.3.4&gt;</w:t>
        </w:r>
      </w:hyperlink>
      <w:r>
        <w:rPr>
          <w:lang w:val="en_US" w:bidi="en_US"/>
        </w:rPr>
        <w:t>.</w:t>
      </w:r>
      <w:r>
        <w:rPr>
          <w:lang w:val="en_US" w:bidi="en_US"/>
        </w:rPr>
      </w:r>
    </w:p>
    <w:p>
      <w:r>
        <w:drawing>
          <wp:inline xmlns:a="http://schemas.openxmlformats.org/drawingml/2006/main" xmlns:pic="http://schemas.openxmlformats.org/drawingml/2006/picture">
            <wp:extent cx="6096000" cy="13092081"/>
            <wp:docPr id="1" name="Picture 1"/>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13092081"/>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Oil lamps (© Zde Wikimedia Commons)</w:t>
      </w:r>
      <w:r>
        <w:rPr>
          <w:lang w:val="en_US" w:bidi="en_US"/>
        </w:rPr>
        <w:t>Since there is no special word for “lampstand” in many cultures, this may have to be translated “lamp holder,” “thing on which lamps are placed,” or “place for putting lamps.” Where the translator has chosen to render the oil lamp as “candle,” the appropriate word for a candleholder could be used.</w:t>
      </w:r>
      <w:r>
        <w:rPr>
          <w:lang w:val="en_US" w:bidi="en_US"/>
        </w:rPr>
      </w:r>
    </w:p>
    <w:p>
      <w:r>
        <w:t>&lt;image: Z&gt;</w:t>
      </w:r>
    </w:p>
    <w:p>
      <w:pPr/>
      <w:r>
        <w:rPr>
          <w:lang w:val="en_US" w:bidi="en_US"/>
        </w:rPr>
      </w:r>
      <w:r>
        <w:rPr>
          <w:lang w:val="en_US" w:bidi="en_US"/>
        </w:rPr>
      </w:r>
      <w:hyperlink r:id="rId17">
        <w:r>
          <w:rPr>
            <w:lang w:val="en_US" w:bidi="en_US"/>
          </w:rPr>
          <w:rPr>
            <w:color w:val="0000EE"/>
            <w:u w:val="single"/>
          </w:rPr>
          <w:t>DAN 5:5</w:t>
        </w:r>
      </w:hyperlink>
      <w:r>
        <w:rPr>
          <w:lang w:val="en_US" w:bidi="en_US"/>
        </w:rPr>
        <w:t>: The writing on the wall is said to have been “opposite the lampstand” (</w:t>
      </w:r>
      <w:r>
        <w:rPr>
          <w:lang w:val="en_US" w:bidi="en_US"/>
        </w:rPr>
        <w:t>RSV</w:t>
      </w:r>
      <w:r>
        <w:rPr>
          <w:lang w:val="en_US" w:bidi="en_US"/>
        </w:rPr>
        <w:t xml:space="preserve">). This would be in the most clearly illuminated part of the banquet hall. This should probably be stated clearly in most languages. </w:t>
      </w:r>
      <w:r>
        <w:rPr>
          <w:lang w:val="en_US" w:bidi="en_US"/>
        </w:rPr>
        <w:t>GNT</w:t>
      </w:r>
      <w:r>
        <w:rPr>
          <w:lang w:val="en_US" w:bidi="en_US"/>
        </w:rPr>
        <w:t xml:space="preserve"> has “where the light from the lamps was shining most brightly.” Also possible is “where the light was strongest” or “where people could see very clearly.”</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Kgs4:10" TargetMode="External"/><Relationship Id="rId15" Type="http://schemas.openxmlformats.org/officeDocument/2006/relationships/hyperlink" Target="https://ref.ly/Zech4:2" TargetMode="External"/><Relationship Id="rId16" Type="http://schemas.openxmlformats.org/officeDocument/2006/relationships/hyperlink" Target="https://ref.ly/Zech4:11" TargetMode="External"/><Relationship Id="rId17" Type="http://schemas.openxmlformats.org/officeDocument/2006/relationships/hyperlink" Target="https://ref.ly/Dan5:5" TargetMode="External"/><Relationship Id="rId18" Type="http://schemas.openxmlformats.org/officeDocument/2006/relationships/hyperlink" Target="https://ref.ly/Matt5:15" TargetMode="External"/><Relationship Id="rId19" Type="http://schemas.openxmlformats.org/officeDocument/2006/relationships/hyperlink" Target="https://ref.ly/Mark4:21" TargetMode="External"/><Relationship Id="rId20" Type="http://schemas.openxmlformats.org/officeDocument/2006/relationships/hyperlink" Target="https://ref.ly/Luke8:16" TargetMode="External"/><Relationship Id="rId21" Type="http://schemas.openxmlformats.org/officeDocument/2006/relationships/hyperlink" Target="https://ref.ly/Luke11:33" TargetMode="External"/><Relationship Id="rId22" Type="http://schemas.openxmlformats.org/officeDocument/2006/relationships/hyperlink" Target="https://ref.ly/Rev1:13" TargetMode="External"/><Relationship Id="rId23" Type="http://schemas.openxmlformats.org/officeDocument/2006/relationships/hyperlink" Target="https://ref.ly/Rev1:20" TargetMode="External"/><Relationship Id="rId24" Type="http://schemas.openxmlformats.org/officeDocument/2006/relationships/hyperlink" Target="https://ref.ly/Rev2:1" TargetMode="External"/><Relationship Id="rId25" Type="http://schemas.openxmlformats.org/officeDocument/2006/relationships/hyperlink" Target="https://ref.ly/Rev2:5" TargetMode="External"/><Relationship Id="rId26" Type="http://schemas.openxmlformats.org/officeDocument/2006/relationships/hyperlink" Target="https://ref.ly/Rev11:4" TargetMode="External"/><Relationship Id="rId27" Type="http://schemas.openxmlformats.org/officeDocument/2006/relationships/image" Target="media/image1.jpg"/><Relationship Id="rId28"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