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Chair, seat</w:t>
      </w:r>
      <w:r>
        <w:rPr>
          <w:lang w:val="en_US" w:bidi="en_US"/>
        </w:rPr>
      </w:r>
    </w:p>
    <w:p>
      <w:pPr>
        <w:pStyle w:val="Heading1"/>
      </w:pPr>
      <w:r>
        <w:rPr>
          <w:lang w:val="en_US" w:bidi="en_US"/>
        </w:rPr>
        <w:t>5.9</w:t>
      </w:r>
      <w:r>
        <w:rPr>
          <w:lang w:val="en_US" w:bidi="en_US"/>
        </w:rPr>
        <w:t xml:space="preserve"> Chair, seat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כִסֵּא</w:t>
      </w:r>
      <w:r>
        <w:rPr>
          <w:lang w:val="en_US" w:bidi="en_US"/>
        </w:rPr>
        <w:t xml:space="preserve"> </w:t>
      </w:r>
      <w:r>
        <w:rPr>
          <w:lang w:val="en_US" w:bidi="en_US"/>
        </w:rPr>
        <w:t>(kise’)</w:t>
      </w:r>
      <w:r>
        <w:rPr>
          <w:lang w:val="en_US" w:bidi="en_US"/>
        </w:rPr>
      </w:r>
      <w:hyperlink r:id="rId14">
        <w:r>
          <w:rPr>
            <w:lang w:val="en_US" w:bidi="en_US"/>
          </w:rPr>
          <w:rPr>
            <w:color w:val="0000EE"/>
            <w:u w:val="single"/>
          </w:rPr>
          <w:t>JDG 3:20</w:t>
        </w:r>
      </w:hyperlink>
      <w:r>
        <w:rPr>
          <w:lang w:val="en_US" w:bidi="en_US"/>
        </w:rPr>
        <w:t xml:space="preserve">, </w:t>
      </w:r>
      <w:hyperlink r:id="rId15">
        <w:r>
          <w:rPr>
            <w:lang w:val="en_US" w:bidi="en_US"/>
          </w:rPr>
          <w:rPr>
            <w:color w:val="0000EE"/>
            <w:u w:val="single"/>
          </w:rPr>
          <w:t>1SA 1:9</w:t>
        </w:r>
      </w:hyperlink>
      <w:r>
        <w:rPr>
          <w:lang w:val="en_US" w:bidi="en_US"/>
        </w:rPr>
        <w:t xml:space="preserve">, </w:t>
      </w:r>
      <w:hyperlink r:id="rId16">
        <w:r>
          <w:rPr>
            <w:lang w:val="en_US" w:bidi="en_US"/>
          </w:rPr>
          <w:rPr>
            <w:color w:val="0000EE"/>
            <w:u w:val="single"/>
          </w:rPr>
          <w:t>1SA 2:8</w:t>
        </w:r>
      </w:hyperlink>
      <w:r>
        <w:rPr>
          <w:lang w:val="en_US" w:bidi="en_US"/>
        </w:rPr>
        <w:t xml:space="preserve">, </w:t>
      </w:r>
      <w:hyperlink r:id="rId17">
        <w:r>
          <w:rPr>
            <w:lang w:val="en_US" w:bidi="en_US"/>
          </w:rPr>
          <w:rPr>
            <w:color w:val="0000EE"/>
            <w:u w:val="single"/>
          </w:rPr>
          <w:t>1SA 4:13</w:t>
        </w:r>
      </w:hyperlink>
      <w:r>
        <w:rPr>
          <w:lang w:val="en_US" w:bidi="en_US"/>
        </w:rPr>
        <w:t xml:space="preserve">, </w:t>
      </w:r>
      <w:hyperlink r:id="rId18">
        <w:r>
          <w:rPr>
            <w:lang w:val="en_US" w:bidi="en_US"/>
          </w:rPr>
          <w:rPr>
            <w:color w:val="0000EE"/>
            <w:u w:val="single"/>
          </w:rPr>
          <w:t>1SA 4:18</w:t>
        </w:r>
      </w:hyperlink>
      <w:r>
        <w:rPr>
          <w:lang w:val="en_US" w:bidi="en_US"/>
        </w:rPr>
        <w:t xml:space="preserve">, </w:t>
      </w:r>
      <w:hyperlink r:id="rId19">
        <w:r>
          <w:rPr>
            <w:lang w:val="en_US" w:bidi="en_US"/>
          </w:rPr>
          <w:rPr>
            <w:color w:val="0000EE"/>
            <w:u w:val="single"/>
          </w:rPr>
          <w:t>1KI 2:19</w:t>
        </w:r>
      </w:hyperlink>
      <w:r>
        <w:rPr>
          <w:lang w:val="en_US" w:bidi="en_US"/>
        </w:rPr>
        <w:t xml:space="preserve">, </w:t>
      </w:r>
      <w:hyperlink r:id="rId19">
        <w:r>
          <w:rPr>
            <w:lang w:val="en_US" w:bidi="en_US"/>
          </w:rPr>
          <w:rPr>
            <w:color w:val="0000EE"/>
            <w:u w:val="single"/>
          </w:rPr>
          <w:t>1KI 2:19</w:t>
        </w:r>
      </w:hyperlink>
      <w:r>
        <w:rPr>
          <w:lang w:val="en_US" w:bidi="en_US"/>
        </w:rPr>
        <w:t xml:space="preserve">, </w:t>
      </w:r>
      <w:hyperlink r:id="rId20">
        <w:r>
          <w:rPr>
            <w:lang w:val="en_US" w:bidi="en_US"/>
          </w:rPr>
          <w:rPr>
            <w:color w:val="0000EE"/>
            <w:u w:val="single"/>
          </w:rPr>
          <w:t>2KI 4:10</w:t>
        </w:r>
      </w:hyperlink>
      <w:r>
        <w:rPr>
          <w:lang w:val="en_US" w:bidi="en_US"/>
        </w:rPr>
        <w:t xml:space="preserve">, </w:t>
      </w:r>
      <w:hyperlink r:id="rId21">
        <w:r>
          <w:rPr>
            <w:lang w:val="en_US" w:bidi="en_US"/>
          </w:rPr>
          <w:rPr>
            <w:color w:val="0000EE"/>
            <w:u w:val="single"/>
          </w:rPr>
          <w:t>EST 3:1</w:t>
        </w:r>
      </w:hyperlink>
      <w:r>
        <w:rPr>
          <w:lang w:val="en_US" w:bidi="en_US"/>
        </w:rPr>
        <w:t xml:space="preserve">, </w:t>
      </w:r>
      <w:hyperlink r:id="rId22">
        <w:r>
          <w:rPr>
            <w:lang w:val="en_US" w:bidi="en_US"/>
          </w:rPr>
          <w:rPr>
            <w:color w:val="0000EE"/>
            <w:u w:val="single"/>
          </w:rPr>
          <w:t>PRO 9:14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מוֹשָׁב</w:t>
      </w:r>
      <w:r>
        <w:rPr>
          <w:lang w:val="en_US" w:bidi="en_US"/>
        </w:rPr>
        <w:t xml:space="preserve"> </w:t>
      </w:r>
      <w:r>
        <w:rPr>
          <w:lang w:val="en_US" w:bidi="en_US"/>
        </w:rPr>
        <w:t>(moshav)</w:t>
      </w:r>
      <w:r>
        <w:rPr>
          <w:lang w:val="en_US" w:bidi="en_US"/>
        </w:rPr>
      </w:r>
      <w:hyperlink r:id="rId23">
        <w:r>
          <w:rPr>
            <w:lang w:val="en_US" w:bidi="en_US"/>
          </w:rPr>
          <w:rPr>
            <w:color w:val="0000EE"/>
            <w:u w:val="single"/>
          </w:rPr>
          <w:t>1SA 20:18</w:t>
        </w:r>
      </w:hyperlink>
      <w:r>
        <w:rPr>
          <w:lang w:val="en_US" w:bidi="en_US"/>
        </w:rPr>
        <w:t xml:space="preserve">, </w:t>
      </w:r>
      <w:hyperlink r:id="rId24">
        <w:r>
          <w:rPr>
            <w:lang w:val="en_US" w:bidi="en_US"/>
          </w:rPr>
          <w:rPr>
            <w:color w:val="0000EE"/>
            <w:u w:val="single"/>
          </w:rPr>
          <w:t>1SA 20:25</w:t>
        </w:r>
      </w:hyperlink>
      <w:r>
        <w:rPr>
          <w:lang w:val="en_US" w:bidi="en_US"/>
        </w:rPr>
        <w:t xml:space="preserve">, </w:t>
      </w:r>
      <w:hyperlink r:id="rId24">
        <w:r>
          <w:rPr>
            <w:lang w:val="en_US" w:bidi="en_US"/>
          </w:rPr>
          <w:rPr>
            <w:color w:val="0000EE"/>
            <w:u w:val="single"/>
          </w:rPr>
          <w:t>1SA 20:25</w:t>
        </w:r>
      </w:hyperlink>
      <w:r>
        <w:rPr>
          <w:lang w:val="en_US" w:bidi="en_US"/>
        </w:rPr>
        <w:t xml:space="preserve">, </w:t>
      </w:r>
      <w:hyperlink r:id="rId25">
        <w:r>
          <w:rPr>
            <w:lang w:val="en_US" w:bidi="en_US"/>
          </w:rPr>
          <w:rPr>
            <w:color w:val="0000EE"/>
            <w:u w:val="single"/>
          </w:rPr>
          <w:t>JOB 29:7</w:t>
        </w:r>
      </w:hyperlink>
      <w:r>
        <w:rPr>
          <w:lang w:val="en_US" w:bidi="en_US"/>
        </w:rPr>
        <w:t xml:space="preserve">, </w:t>
      </w:r>
      <w:hyperlink r:id="rId26">
        <w:r>
          <w:rPr>
            <w:lang w:val="en_US" w:bidi="en_US"/>
          </w:rPr>
          <w:rPr>
            <w:color w:val="0000EE"/>
            <w:u w:val="single"/>
          </w:rPr>
          <w:t>PSA 1:1</w:t>
        </w:r>
      </w:hyperlink>
      <w:r>
        <w:rPr>
          <w:lang w:val="en_US" w:bidi="en_US"/>
        </w:rPr>
        <w:t xml:space="preserve">, </w:t>
      </w:r>
      <w:hyperlink r:id="rId27">
        <w:r>
          <w:rPr>
            <w:lang w:val="en_US" w:bidi="en_US"/>
          </w:rPr>
          <w:rPr>
            <w:color w:val="0000EE"/>
            <w:u w:val="single"/>
          </w:rPr>
          <w:t>EZK 8:3</w:t>
        </w:r>
      </w:hyperlink>
      <w:r>
        <w:rPr>
          <w:lang w:val="en_US" w:bidi="en_US"/>
        </w:rPr>
        <w:t xml:space="preserve">, </w:t>
      </w:r>
      <w:hyperlink r:id="rId28">
        <w:r>
          <w:rPr>
            <w:lang w:val="en_US" w:bidi="en_US"/>
          </w:rPr>
          <w:rPr>
            <w:color w:val="0000EE"/>
            <w:u w:val="single"/>
          </w:rPr>
          <w:t>EZK 28:2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תְּכוּנָה</w:t>
      </w:r>
      <w:r>
        <w:rPr>
          <w:lang w:val="en_US" w:bidi="en_US"/>
        </w:rPr>
        <w:t xml:space="preserve"> </w:t>
      </w:r>
      <w:r>
        <w:rPr>
          <w:lang w:val="en_US" w:bidi="en_US"/>
        </w:rPr>
        <w:t>(tkunah)</w:t>
      </w:r>
      <w:r>
        <w:rPr>
          <w:lang w:val="en_US" w:bidi="en_US"/>
        </w:rPr>
      </w:r>
      <w:hyperlink r:id="rId29">
        <w:r>
          <w:rPr>
            <w:lang w:val="en_US" w:bidi="en_US"/>
          </w:rPr>
          <w:rPr>
            <w:color w:val="0000EE"/>
            <w:u w:val="single"/>
          </w:rPr>
          <w:t>JOB 23:3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καθέδρα</w:t>
      </w:r>
      <w:r>
        <w:rPr>
          <w:lang w:val="en_US" w:bidi="en_US"/>
        </w:rPr>
        <w:t xml:space="preserve"> </w:t>
      </w:r>
      <w:r>
        <w:rPr>
          <w:lang w:val="en_US" w:bidi="en_US"/>
        </w:rPr>
        <w:t>(kathedra)</w:t>
      </w:r>
      <w:r>
        <w:rPr>
          <w:lang w:val="en_US" w:bidi="en_US"/>
        </w:rPr>
      </w:r>
      <w:hyperlink r:id="rId30">
        <w:r>
          <w:rPr>
            <w:lang w:val="en_US" w:bidi="en_US"/>
          </w:rPr>
          <w:rPr>
            <w:color w:val="0000EE"/>
            <w:u w:val="single"/>
          </w:rPr>
          <w:t>MAT 21:12</w:t>
        </w:r>
      </w:hyperlink>
      <w:r>
        <w:rPr>
          <w:lang w:val="en_US" w:bidi="en_US"/>
        </w:rPr>
        <w:t xml:space="preserve">, </w:t>
      </w:r>
      <w:hyperlink r:id="rId31">
        <w:r>
          <w:rPr>
            <w:lang w:val="en_US" w:bidi="en_US"/>
          </w:rPr>
          <w:rPr>
            <w:color w:val="0000EE"/>
            <w:u w:val="single"/>
          </w:rPr>
          <w:t>MAT 23:2</w:t>
        </w:r>
      </w:hyperlink>
      <w:r>
        <w:rPr>
          <w:lang w:val="en_US" w:bidi="en_US"/>
        </w:rPr>
        <w:t xml:space="preserve">, </w:t>
      </w:r>
      <w:hyperlink r:id="rId32">
        <w:r>
          <w:rPr>
            <w:lang w:val="en_US" w:bidi="en_US"/>
          </w:rPr>
          <w:rPr>
            <w:color w:val="0000EE"/>
            <w:u w:val="single"/>
          </w:rPr>
          <w:t>MRK 11:15</w:t>
        </w:r>
      </w:hyperlink>
      <w:r>
        <w:rPr>
          <w:lang w:val="en_US" w:bidi="en_US"/>
        </w:rPr>
        <w:t xml:space="preserve">, </w:t>
      </w:r>
      <w:hyperlink r:id="rId33">
        <w:r>
          <w:rPr>
            <w:lang w:val="en_US" w:bidi="en_US"/>
          </w:rPr>
          <w:rPr>
            <w:color w:val="0000EE"/>
            <w:u w:val="single"/>
          </w:rPr>
          <w:t>SIR 7:4</w:t>
        </w:r>
      </w:hyperlink>
      <w:r>
        <w:rPr>
          <w:lang w:val="en_US" w:bidi="en_US"/>
        </w:rPr>
        <w:t xml:space="preserve">, </w:t>
      </w:r>
      <w:hyperlink r:id="rId34">
        <w:r>
          <w:rPr>
            <w:lang w:val="en_US" w:bidi="en_US"/>
          </w:rPr>
          <w:rPr>
            <w:color w:val="0000EE"/>
            <w:u w:val="single"/>
          </w:rPr>
          <w:t>SIR 12:12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πρωτοκαθεδρία</w:t>
      </w:r>
      <w:r>
        <w:rPr>
          <w:lang w:val="en_US" w:bidi="en_US"/>
        </w:rPr>
        <w:t xml:space="preserve"> </w:t>
      </w:r>
      <w:r>
        <w:rPr>
          <w:lang w:val="en_US" w:bidi="en_US"/>
        </w:rPr>
        <w:t>(prōtokathedria)</w:t>
      </w:r>
      <w:r>
        <w:rPr>
          <w:lang w:val="en_US" w:bidi="en_US"/>
        </w:rPr>
      </w:r>
      <w:hyperlink r:id="rId35">
        <w:r>
          <w:rPr>
            <w:lang w:val="en_US" w:bidi="en_US"/>
          </w:rPr>
          <w:rPr>
            <w:color w:val="0000EE"/>
            <w:u w:val="single"/>
          </w:rPr>
          <w:t>MAT 23:6</w:t>
        </w:r>
      </w:hyperlink>
      <w:r>
        <w:rPr>
          <w:lang w:val="en_US" w:bidi="en_US"/>
        </w:rPr>
        <w:t xml:space="preserve">, </w:t>
      </w:r>
      <w:hyperlink r:id="rId36">
        <w:r>
          <w:rPr>
            <w:lang w:val="en_US" w:bidi="en_US"/>
          </w:rPr>
          <w:rPr>
            <w:color w:val="0000EE"/>
            <w:u w:val="single"/>
          </w:rPr>
          <w:t>MRK 12:39</w:t>
        </w:r>
      </w:hyperlink>
      <w:r>
        <w:rPr>
          <w:lang w:val="en_US" w:bidi="en_US"/>
        </w:rPr>
        <w:t xml:space="preserve">, </w:t>
      </w:r>
      <w:hyperlink r:id="rId37">
        <w:r>
          <w:rPr>
            <w:lang w:val="en_US" w:bidi="en_US"/>
          </w:rPr>
          <w:rPr>
            <w:color w:val="0000EE"/>
            <w:u w:val="single"/>
          </w:rPr>
          <w:t>LUK 11:43</w:t>
        </w:r>
      </w:hyperlink>
      <w:r>
        <w:rPr>
          <w:lang w:val="en_US" w:bidi="en_US"/>
        </w:rPr>
        <w:t xml:space="preserve">, </w:t>
      </w:r>
      <w:hyperlink r:id="rId38">
        <w:r>
          <w:rPr>
            <w:lang w:val="en_US" w:bidi="en_US"/>
          </w:rPr>
          <w:rPr>
            <w:color w:val="0000EE"/>
            <w:u w:val="single"/>
          </w:rPr>
          <w:t>LUK 20:46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Chair without a back (Ashurnasirpal II, wall relief from Nimrud, Iraq, 9th c. BCE, British Museum) (Anthony Huan, CC BY-SA 2.0, via Wikimedia Commons)</w:t>
      </w:r>
      <w:r>
        <w:rPr>
          <w:lang w:val="en_US" w:bidi="en_US"/>
        </w:rPr>
        <w:t xml:space="preserve">The chair was an object on which a person sat. Chairs differed widely in shape and materials. Most often they were made of a wooden or cane frame with the seat woven of reeds or made of wood. Sometimes the chair had a back, sometimes not. See also </w:t>
      </w:r>
      <w:hyperlink r:id="rId40">
        <w:r>
          <w:rPr>
            <w:lang w:val="en_US" w:bidi="en_US"/>
          </w:rPr>
          <w:rPr>
            <w:color w:val="0000EE"/>
            <w:u w:val="single"/>
          </w:rPr>
          <w:t>1.10.1 Throne&lt;REALIA:1.10.1&gt;</w:t>
        </w:r>
      </w:hyperlink>
      <w:r>
        <w:rPr>
          <w:lang w:val="en_US" w:bidi="en_US"/>
        </w:rPr>
        <w:t>.</w:t>
      </w:r>
      <w:r>
        <w:rPr>
          <w:lang w:val="en_US" w:bidi="en_US"/>
        </w:rPr>
      </w:r>
    </w:p>
    <w:p>
      <w:r>
        <w:drawing>
          <wp:inline xmlns:a="http://schemas.openxmlformats.org/drawingml/2006/main" xmlns:pic="http://schemas.openxmlformats.org/drawingml/2006/picture">
            <wp:extent cx="1463040" cy="2696165"/>
            <wp:docPr id="1" name="Picture 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1463040" cy="2696165"/>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Chair with a back (Egypt, between 1550 and 1186 BCE, Louvre) (© Rama, CC BY-SA 3.0 FR, via Wikimedia Commons)</w:t>
      </w:r>
      <w:r>
        <w:rPr>
          <w:lang w:val="en_US" w:bidi="en_US"/>
        </w:rPr>
        <w:t>All cultures have words for places to sit. In most of the references above, the object on which a person sits is not specifically described, and usually a generic word for “seat” is to be preferred.</w:t>
      </w:r>
      <w:r>
        <w:rPr>
          <w:lang w:val="en_US" w:bidi="en_US"/>
        </w:rPr>
      </w:r>
    </w:p>
    <w:p>
      <w:r>
        <w:drawing>
          <wp:inline xmlns:a="http://schemas.openxmlformats.org/drawingml/2006/main" xmlns:pic="http://schemas.openxmlformats.org/drawingml/2006/picture">
            <wp:extent cx="6096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6096000" cy="6096000"/>
                    </a:xfrm>
                    <a:prstGeom prst="rect"/>
                  </pic:spPr>
                </pic:pic>
              </a:graphicData>
            </a:graphic>
          </wp:inline>
        </w:drawing>
      </w:r>
    </w:p>
    <w:p>
      <w:pPr/>
      <w:r>
        <w:rPr>
          <w:lang w:val="en_US" w:bidi="en_US"/>
        </w:rPr>
      </w:r>
      <w:r>
        <w:rPr>
          <w:lang w:val="en_US" w:bidi="en_US"/>
        </w:rPr>
      </w:r>
      <w:hyperlink r:id="rId29">
        <w:r>
          <w:rPr>
            <w:lang w:val="en_US" w:bidi="en_US"/>
          </w:rPr>
          <w:rPr>
            <w:color w:val="0000EE"/>
            <w:u w:val="single"/>
          </w:rPr>
          <w:t>JOB 23:3</w:t>
        </w:r>
      </w:hyperlink>
      <w:r>
        <w:rPr>
          <w:lang w:val="en_US" w:bidi="en_US"/>
        </w:rPr>
        <w:t xml:space="preserve">: The Hebrew word </w:t>
      </w:r>
      <w:r>
        <w:rPr>
          <w:i/>
          <w:lang w:val="en_US" w:bidi="en_US"/>
        </w:rPr>
        <w:t>tkunah</w:t>
      </w:r>
      <w:r>
        <w:rPr>
          <w:lang w:val="en_US" w:bidi="en_US"/>
        </w:rPr>
        <w:t xml:space="preserve"> means literally “prepared place.” Older translations, such as </w:t>
      </w:r>
      <w:r>
        <w:rPr>
          <w:lang w:val="en_US" w:bidi="en_US"/>
        </w:rPr>
        <w:t>RSV</w:t>
      </w:r>
      <w:r>
        <w:rPr>
          <w:lang w:val="en_US" w:bidi="en_US"/>
        </w:rPr>
        <w:t xml:space="preserve"> and </w:t>
      </w:r>
      <w:r>
        <w:rPr>
          <w:lang w:val="en_US" w:bidi="en_US"/>
        </w:rPr>
        <w:t>KJV</w:t>
      </w:r>
      <w:r>
        <w:rPr>
          <w:lang w:val="en_US" w:bidi="en_US"/>
        </w:rPr>
        <w:t>, have “seat” (and Luther even has “throne”). Most modern translations prefer something like “where [he] is” (</w:t>
      </w:r>
      <w:r>
        <w:rPr>
          <w:lang w:val="en_US" w:bidi="en_US"/>
        </w:rPr>
        <w:t>GNT</w:t>
      </w:r>
      <w:r>
        <w:rPr>
          <w:lang w:val="en_US" w:bidi="en_US"/>
        </w:rPr>
        <w:t>) or “dwelling” (</w:t>
      </w:r>
      <w:r>
        <w:rPr>
          <w:lang w:val="en_US" w:bidi="en_US"/>
        </w:rPr>
        <w:t>NIV</w:t>
      </w:r>
      <w:r>
        <w:rPr>
          <w:lang w:val="en_US" w:bidi="en_US"/>
        </w:rPr>
        <w:t>).</w:t>
      </w:r>
      <w:r>
        <w:rPr>
          <w:lang w:val="en_US" w:bidi="en_US"/>
        </w:rPr>
      </w:r>
    </w:p>
    <w:p>
      <w:pPr/>
      <w:r>
        <w:rPr>
          <w:lang w:val="en_US" w:bidi="en_US"/>
        </w:rPr>
      </w:r>
      <w:r>
        <w:rPr>
          <w:lang w:val="en_US" w:bidi="en_US"/>
        </w:rPr>
        <w:t xml:space="preserve">In </w:t>
      </w:r>
      <w:hyperlink r:id="rId31">
        <w:r>
          <w:rPr>
            <w:lang w:val="en_US" w:bidi="en_US"/>
          </w:rPr>
          <w:rPr>
            <w:color w:val="0000EE"/>
            <w:u w:val="single"/>
          </w:rPr>
          <w:t>MAT 23:2</w:t>
        </w:r>
      </w:hyperlink>
      <w:r>
        <w:rPr>
          <w:lang w:val="en_US" w:bidi="en_US"/>
        </w:rPr>
        <w:t xml:space="preserve"> the phrase “seat of Moses” carries a double meaning. On the one hand, there was in many synagogues a stylized chair, usually made of stone, which was called by this very name. Examples of this chair have been found by archaeologists. On the other hand, the chair symbolized the authority to make religious rulings. To “sit on the seat of Moses” meant holding a position of authority. It is this latter meaning that is the more important in the words of Jesus. Most English translations prefer a literal rendering of the text, but a dynamic translation is to be preferred. The following renderings are ways in which this has been done:</w:t>
      </w:r>
      <w:r>
        <w:rPr>
          <w:lang w:val="en_US" w:bidi="en_US"/>
        </w:rPr>
      </w:r>
    </w:p>
    <w:p>
      <w:pPr/>
      <w:r>
        <w:rPr>
          <w:lang w:val="en_US" w:bidi="en_US"/>
        </w:rPr>
      </w:r>
      <w:r>
        <w:rPr>
          <w:lang w:val="en_US" w:bidi="en_US"/>
        </w:rPr>
        <w:t>“have inherited the authority of Moses” (Brc);</w:t>
      </w:r>
      <w:r>
        <w:rPr>
          <w:lang w:val="en_US" w:bidi="en_US"/>
        </w:rPr>
      </w:r>
    </w:p>
    <w:p>
      <w:pPr/>
      <w:r>
        <w:rPr>
          <w:lang w:val="en_US" w:bidi="en_US"/>
        </w:rPr>
      </w:r>
      <w:r>
        <w:rPr>
          <w:lang w:val="en_US" w:bidi="en_US"/>
        </w:rPr>
        <w:t>“speak with the authority of Moses” (</w:t>
      </w:r>
      <w:r>
        <w:rPr>
          <w:lang w:val="en_US" w:bidi="en_US"/>
        </w:rPr>
        <w:t>Phps</w:t>
      </w:r>
      <w:r>
        <w:rPr>
          <w:lang w:val="en_US" w:bidi="en_US"/>
        </w:rPr>
        <w:t>);</w:t>
      </w:r>
      <w:r>
        <w:rPr>
          <w:lang w:val="en_US" w:bidi="en_US"/>
        </w:rPr>
      </w:r>
    </w:p>
    <w:p>
      <w:pPr/>
      <w:r>
        <w:rPr>
          <w:lang w:val="en_US" w:bidi="en_US"/>
        </w:rPr>
      </w:r>
      <w:r>
        <w:rPr>
          <w:lang w:val="en_US" w:bidi="en_US"/>
        </w:rPr>
        <w:t>“teach with Moses’ authority” (</w:t>
      </w:r>
      <w:r>
        <w:rPr>
          <w:lang w:val="en_US" w:bidi="en_US"/>
        </w:rPr>
        <w:t>GW</w:t>
      </w:r>
      <w:r>
        <w:rPr>
          <w:lang w:val="en_US" w:bidi="en_US"/>
        </w:rPr>
        <w:t>);</w:t>
      </w:r>
      <w:r>
        <w:rPr>
          <w:lang w:val="en_US" w:bidi="en_US"/>
        </w:rPr>
      </w:r>
    </w:p>
    <w:p>
      <w:pPr/>
      <w:r>
        <w:rPr>
          <w:lang w:val="en_US" w:bidi="en_US"/>
        </w:rPr>
      </w:r>
      <w:r>
        <w:rPr>
          <w:lang w:val="en_US" w:bidi="en_US"/>
        </w:rPr>
        <w:t>“are the authorized interpreters of Moses’ Law” (</w:t>
      </w:r>
      <w:r>
        <w:rPr>
          <w:lang w:val="en_US" w:bidi="en_US"/>
        </w:rPr>
        <w:t>GNT</w:t>
      </w:r>
      <w:r>
        <w:rPr>
          <w:lang w:val="en_US" w:bidi="en_US"/>
        </w:rPr>
        <w:t>);</w:t>
      </w:r>
      <w:r>
        <w:rPr>
          <w:lang w:val="en_US" w:bidi="en_US"/>
        </w:rPr>
      </w:r>
    </w:p>
    <w:p>
      <w:pPr/>
      <w:r>
        <w:rPr>
          <w:lang w:val="en_US" w:bidi="en_US"/>
        </w:rPr>
      </w:r>
      <w:r>
        <w:rPr>
          <w:lang w:val="en_US" w:bidi="en_US"/>
        </w:rPr>
        <w:t>“have the authority to tell you what the law of Moses says” (</w:t>
      </w:r>
      <w:r>
        <w:rPr>
          <w:lang w:val="en_US" w:bidi="en_US"/>
        </w:rPr>
        <w:t>NCV</w:t>
      </w:r>
      <w:r>
        <w:rPr>
          <w:lang w:val="en_US" w:bidi="en_US"/>
        </w:rPr>
        <w:t>);</w:t>
      </w:r>
      <w:r>
        <w:rPr>
          <w:lang w:val="en_US" w:bidi="en_US"/>
        </w:rPr>
      </w:r>
    </w:p>
    <w:p>
      <w:pPr/>
      <w:r>
        <w:rPr>
          <w:lang w:val="en_US" w:bidi="en_US"/>
        </w:rPr>
      </w:r>
      <w:r>
        <w:rPr>
          <w:lang w:val="en_US" w:bidi="en_US"/>
        </w:rPr>
        <w:t>“are experts in the Law of Moses” (</w:t>
      </w:r>
      <w:r>
        <w:rPr>
          <w:lang w:val="en_US" w:bidi="en_US"/>
        </w:rPr>
        <w:t>CEV</w:t>
      </w:r>
      <w:r>
        <w:rPr>
          <w:lang w:val="en_US" w:bidi="en_US"/>
        </w:rPr>
        <w:t>).</w:t>
      </w:r>
      <w:r>
        <w:rPr>
          <w:lang w:val="en_US" w:bidi="en_US"/>
        </w:rPr>
      </w:r>
    </w:p>
    <w:p>
      <w:pPr/>
      <w:r>
        <w:rPr>
          <w:lang w:val="en_US" w:bidi="en_US"/>
        </w:rPr>
      </w:r>
      <w:r>
        <w:rPr>
          <w:lang w:val="en_US" w:bidi="en_US"/>
        </w:rPr>
        <w:t xml:space="preserve">The Greek word </w:t>
      </w:r>
      <w:r>
        <w:rPr>
          <w:i/>
          <w:lang w:val="en_US" w:bidi="en_US"/>
        </w:rPr>
        <w:t>prōtokathedria</w:t>
      </w:r>
      <w:r>
        <w:rPr>
          <w:lang w:val="en_US" w:bidi="en_US"/>
        </w:rPr>
        <w:t xml:space="preserve"> refers to a position or place of particular importance, implying special status to the person occupying it. Here the important element is not the structure of the seat but rather the honor which having that seat gives to a person. Many cultures have a special word for such a seat of honor. If such a word does not carry with it pagan overtones, it should be used. English translations find several appropriate renderings: “most important seats” (</w:t>
      </w:r>
      <w:r>
        <w:rPr>
          <w:lang w:val="en_US" w:bidi="en_US"/>
        </w:rPr>
        <w:t>NIV</w:t>
      </w:r>
      <w:r>
        <w:rPr>
          <w:lang w:val="en_US" w:bidi="en_US"/>
        </w:rPr>
        <w:t xml:space="preserve">, </w:t>
      </w:r>
      <w:r>
        <w:rPr>
          <w:lang w:val="en_US" w:bidi="en_US"/>
        </w:rPr>
        <w:t>NCV</w:t>
      </w:r>
      <w:r>
        <w:rPr>
          <w:lang w:val="en_US" w:bidi="en_US"/>
        </w:rPr>
        <w:t>), “best seats” (</w:t>
      </w:r>
      <w:r>
        <w:rPr>
          <w:lang w:val="en_US" w:bidi="en_US"/>
        </w:rPr>
        <w:t>RSV</w:t>
      </w:r>
      <w:r>
        <w:rPr>
          <w:lang w:val="en_US" w:bidi="en_US"/>
        </w:rPr>
        <w:t>), “reserved seats” (</w:t>
      </w:r>
      <w:r>
        <w:rPr>
          <w:lang w:val="en_US" w:bidi="en_US"/>
        </w:rPr>
        <w:t>GNT</w:t>
      </w:r>
      <w:r>
        <w:rPr>
          <w:lang w:val="en_US" w:bidi="en_US"/>
        </w:rPr>
        <w:t>), and even “front seats” (</w:t>
      </w:r>
      <w:r>
        <w:rPr>
          <w:lang w:val="en_US" w:bidi="en_US"/>
        </w:rPr>
        <w:t>CEV</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udg3:20" TargetMode="External"/><Relationship Id="rId15" Type="http://schemas.openxmlformats.org/officeDocument/2006/relationships/hyperlink" Target="https://ref.ly/1Sam1:9" TargetMode="External"/><Relationship Id="rId16" Type="http://schemas.openxmlformats.org/officeDocument/2006/relationships/hyperlink" Target="https://ref.ly/1Sam2:8" TargetMode="External"/><Relationship Id="rId17" Type="http://schemas.openxmlformats.org/officeDocument/2006/relationships/hyperlink" Target="https://ref.ly/1Sam4:13" TargetMode="External"/><Relationship Id="rId18" Type="http://schemas.openxmlformats.org/officeDocument/2006/relationships/hyperlink" Target="https://ref.ly/1Sam4:18" TargetMode="External"/><Relationship Id="rId19" Type="http://schemas.openxmlformats.org/officeDocument/2006/relationships/hyperlink" Target="https://ref.ly/1Kgs2:19" TargetMode="External"/><Relationship Id="rId20" Type="http://schemas.openxmlformats.org/officeDocument/2006/relationships/hyperlink" Target="https://ref.ly/2Kgs4:10" TargetMode="External"/><Relationship Id="rId21" Type="http://schemas.openxmlformats.org/officeDocument/2006/relationships/hyperlink" Target="https://ref.ly/Esth3:1" TargetMode="External"/><Relationship Id="rId22" Type="http://schemas.openxmlformats.org/officeDocument/2006/relationships/hyperlink" Target="https://ref.ly/Prov9:14" TargetMode="External"/><Relationship Id="rId23" Type="http://schemas.openxmlformats.org/officeDocument/2006/relationships/hyperlink" Target="https://ref.ly/1Sam20:18" TargetMode="External"/><Relationship Id="rId24" Type="http://schemas.openxmlformats.org/officeDocument/2006/relationships/hyperlink" Target="https://ref.ly/1Sam20:25" TargetMode="External"/><Relationship Id="rId25" Type="http://schemas.openxmlformats.org/officeDocument/2006/relationships/hyperlink" Target="https://ref.ly/Job29:7" TargetMode="External"/><Relationship Id="rId26" Type="http://schemas.openxmlformats.org/officeDocument/2006/relationships/hyperlink" Target="https://ref.ly/Ps1:1" TargetMode="External"/><Relationship Id="rId27" Type="http://schemas.openxmlformats.org/officeDocument/2006/relationships/hyperlink" Target="https://ref.ly/Ezek8:3" TargetMode="External"/><Relationship Id="rId28" Type="http://schemas.openxmlformats.org/officeDocument/2006/relationships/hyperlink" Target="https://ref.ly/Ezek28:2" TargetMode="External"/><Relationship Id="rId29" Type="http://schemas.openxmlformats.org/officeDocument/2006/relationships/hyperlink" Target="https://ref.ly/Job23:3" TargetMode="External"/><Relationship Id="rId30" Type="http://schemas.openxmlformats.org/officeDocument/2006/relationships/hyperlink" Target="https://ref.ly/Matt21:12" TargetMode="External"/><Relationship Id="rId31" Type="http://schemas.openxmlformats.org/officeDocument/2006/relationships/hyperlink" Target="https://ref.ly/Matt23:2" TargetMode="External"/><Relationship Id="rId32" Type="http://schemas.openxmlformats.org/officeDocument/2006/relationships/hyperlink" Target="https://ref.ly/Mark11:15" TargetMode="External"/><Relationship Id="rId33" Type="http://schemas.openxmlformats.org/officeDocument/2006/relationships/hyperlink" Target="https://ref.ly/Sir7:4" TargetMode="External"/><Relationship Id="rId34" Type="http://schemas.openxmlformats.org/officeDocument/2006/relationships/hyperlink" Target="https://ref.ly/Sir12:12" TargetMode="External"/><Relationship Id="rId35" Type="http://schemas.openxmlformats.org/officeDocument/2006/relationships/hyperlink" Target="https://ref.ly/Matt23:6" TargetMode="External"/><Relationship Id="rId36" Type="http://schemas.openxmlformats.org/officeDocument/2006/relationships/hyperlink" Target="https://ref.ly/Mark12:39" TargetMode="External"/><Relationship Id="rId37" Type="http://schemas.openxmlformats.org/officeDocument/2006/relationships/hyperlink" Target="https://ref.ly/Luke11:43" TargetMode="External"/><Relationship Id="rId38" Type="http://schemas.openxmlformats.org/officeDocument/2006/relationships/hyperlink" Target="https://ref.ly/Luke20:46" TargetMode="External"/><Relationship Id="rId39" Type="http://schemas.openxmlformats.org/officeDocument/2006/relationships/image" Target="media/image1.jpg"/><Relationship Id="rId40" Type="http://schemas.openxmlformats.org/officeDocument/2006/relationships/hyperlink" Target="#" TargetMode="External"/><Relationship Id="rId4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